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imes New Roman" w:hAnsiTheme="minorHAnsi" w:cs="Times New Roman"/>
          <w:b w:val="0"/>
          <w:color w:val="4E4E50" w:themeColor="text2"/>
          <w:sz w:val="20"/>
          <w:szCs w:val="24"/>
          <w:lang w:eastAsia="en-AU"/>
        </w:rPr>
        <w:id w:val="971261117"/>
        <w:docPartObj>
          <w:docPartGallery w:val="Custom Cover Pages"/>
          <w:docPartUnique/>
        </w:docPartObj>
      </w:sdtPr>
      <w:sdtEndPr/>
      <w:sdtContent>
        <w:tbl>
          <w:tblPr>
            <w:tblStyle w:val="TableNoBorders"/>
            <w:tblpPr w:leftFromText="181" w:rightFromText="181" w:vertAnchor="page" w:horzAnchor="margin" w:tblpY="10037"/>
            <w:tblOverlap w:val="never"/>
            <w:tblW w:w="8730" w:type="dxa"/>
            <w:tblLayout w:type="fixed"/>
            <w:tblLook w:val="04A0" w:firstRow="1" w:lastRow="0" w:firstColumn="1" w:lastColumn="0" w:noHBand="0" w:noVBand="1"/>
          </w:tblPr>
          <w:tblGrid>
            <w:gridCol w:w="8730"/>
          </w:tblGrid>
          <w:tr w:rsidR="009D1556" w:rsidRPr="004B3EC4" w14:paraId="21A019C7" w14:textId="77777777" w:rsidTr="001712AA">
            <w:trPr>
              <w:trHeight w:val="2978"/>
            </w:trPr>
            <w:tc>
              <w:tcPr>
                <w:tcW w:w="8730" w:type="dxa"/>
                <w:tcBorders>
                  <w:bottom w:val="single" w:sz="4" w:space="0" w:color="4E4E50" w:themeColor="text2"/>
                </w:tcBorders>
                <w:vAlign w:val="bottom"/>
              </w:tcPr>
              <w:p w14:paraId="7EBC3F23" w14:textId="6EAD88BF" w:rsidR="009D1556" w:rsidRPr="008D60C8" w:rsidRDefault="00CE4039" w:rsidP="009D1556">
                <w:pPr>
                  <w:pStyle w:val="Title"/>
                  <w:framePr w:hSpace="0" w:wrap="auto" w:hAnchor="text" w:yAlign="inline"/>
                  <w:suppressOverlap w:val="0"/>
                </w:pPr>
                <w:sdt>
                  <w:sdtPr>
                    <w:alias w:val="[Document Title]"/>
                    <w:tag w:val="Title"/>
                    <w:id w:val="-1779635137"/>
                    <w:placeholder>
                      <w:docPart w:val="33C2D8CFD4664B998684C56DE6E9B9B1"/>
                    </w:placeholder>
                    <w:dataBinding w:prefixMappings="xmlns:ns0='http://purl.org/dc/elements/1.1/' xmlns:ns1='http://schemas.openxmlformats.org/package/2006/metadata/core-properties' " w:xpath="/ns1:coreProperties[1]/ns0:title[1]" w:storeItemID="{6C3C8BC8-F283-45AE-878A-BAB7291924A1}"/>
                    <w:text/>
                  </w:sdtPr>
                  <w:sdtEndPr/>
                  <w:sdtContent>
                    <w:r w:rsidR="00502C52">
                      <w:rPr>
                        <w:lang w:val="en-US"/>
                      </w:rPr>
                      <w:t>Development Assessment Report</w:t>
                    </w:r>
                  </w:sdtContent>
                </w:sdt>
              </w:p>
              <w:sdt>
                <w:sdtPr>
                  <w:alias w:val="Subtitle"/>
                  <w:tag w:val="Subject"/>
                  <w:id w:val="-1427191618"/>
                  <w:placeholder>
                    <w:docPart w:val="496A9A52C1824156B8A71315D31763E3"/>
                  </w:placeholder>
                  <w:dataBinding w:prefixMappings="xmlns:ns0='http://purl.org/dc/elements/1.1/' xmlns:ns1='http://schemas.openxmlformats.org/package/2006/metadata/core-properties' " w:xpath="/ns1:coreProperties[1]/ns0:subject[1]" w:storeItemID="{6C3C8BC8-F283-45AE-878A-BAB7291924A1}"/>
                  <w:text/>
                </w:sdtPr>
                <w:sdtEndPr/>
                <w:sdtContent>
                  <w:p w14:paraId="16CF1688" w14:textId="6A6B4CC5" w:rsidR="009D1556" w:rsidRPr="008D60C8" w:rsidRDefault="006C5EDF" w:rsidP="009D1556">
                    <w:pPr>
                      <w:pStyle w:val="Subtitle"/>
                    </w:pPr>
                    <w:r>
                      <w:t>Civic and Cultural Centre</w:t>
                    </w:r>
                  </w:p>
                </w:sdtContent>
              </w:sdt>
            </w:tc>
          </w:tr>
          <w:tr w:rsidR="009D1556" w:rsidRPr="004B3EC4" w14:paraId="64C0FCAB" w14:textId="77777777" w:rsidTr="001712AA">
            <w:trPr>
              <w:trHeight w:hRule="exact" w:val="981"/>
            </w:trPr>
            <w:tc>
              <w:tcPr>
                <w:tcW w:w="8730" w:type="dxa"/>
                <w:tcBorders>
                  <w:top w:val="single" w:sz="4" w:space="0" w:color="4E4E50" w:themeColor="text2"/>
                </w:tcBorders>
                <w:vAlign w:val="bottom"/>
              </w:tcPr>
              <w:p w14:paraId="1609ADE1" w14:textId="546C21A1" w:rsidR="009D1556" w:rsidRPr="008D60C8" w:rsidRDefault="009D1556" w:rsidP="009D1556">
                <w:pPr>
                  <w:pStyle w:val="CoverDetails"/>
                  <w:framePr w:hSpace="0" w:wrap="auto" w:hAnchor="text" w:yAlign="inline"/>
                  <w:suppressOverlap w:val="0"/>
                </w:pPr>
                <w:r w:rsidRPr="008D60C8">
                  <w:rPr>
                    <w:b/>
                  </w:rPr>
                  <w:t>Client:</w:t>
                </w:r>
                <w:r w:rsidRPr="008D60C8">
                  <w:t xml:space="preserve"> </w:t>
                </w:r>
                <w:sdt>
                  <w:sdtPr>
                    <w:alias w:val="Client"/>
                    <w:tag w:val="Category"/>
                    <w:id w:val="-1962712518"/>
                    <w:placeholder>
                      <w:docPart w:val="E11DD07D4E3E4EB18CD55D929FB3143E"/>
                    </w:placeholder>
                    <w:dataBinding w:prefixMappings="xmlns:ns0='http://purl.org/dc/elements/1.1/' xmlns:ns1='http://schemas.openxmlformats.org/package/2006/metadata/core-properties' " w:xpath="/ns1:coreProperties[1]/ns1:category[1]" w:storeItemID="{6C3C8BC8-F283-45AE-878A-BAB7291924A1}"/>
                    <w:text/>
                  </w:sdtPr>
                  <w:sdtEndPr/>
                  <w:sdtContent>
                    <w:r w:rsidR="0088750F">
                      <w:t>Queanbeyan-Palerang Regional Council</w:t>
                    </w:r>
                  </w:sdtContent>
                </w:sdt>
              </w:p>
              <w:p w14:paraId="0C604843" w14:textId="1263EB92" w:rsidR="009D1556" w:rsidRPr="008D60C8" w:rsidRDefault="009D1556" w:rsidP="009D1556">
                <w:pPr>
                  <w:pStyle w:val="CoverDetails"/>
                  <w:framePr w:hSpace="0" w:wrap="auto" w:hAnchor="text" w:yAlign="inline"/>
                  <w:suppressOverlap w:val="0"/>
                </w:pPr>
                <w:r w:rsidRPr="008D60C8">
                  <w:rPr>
                    <w:b/>
                  </w:rPr>
                  <w:t>Date:</w:t>
                </w:r>
                <w:r w:rsidRPr="008D60C8">
                  <w:t xml:space="preserve"> </w:t>
                </w:r>
                <w:sdt>
                  <w:sdtPr>
                    <w:alias w:val="Date"/>
                    <w:tag w:val="Publish Date"/>
                    <w:id w:val="-1504348091"/>
                    <w:placeholder>
                      <w:docPart w:val="C3F663D616944711A2B14C025D5160F5"/>
                    </w:placeholder>
                    <w:dataBinding w:prefixMappings="xmlns:ns0='http://schemas.microsoft.com/office/2006/coverPageProps' " w:xpath="/ns0:CoverPageProperties[1]/ns0:PublishDate[1]" w:storeItemID="{55AF091B-3C7A-41E3-B477-F2FDAA23CFDA}"/>
                    <w:date w:fullDate="2020-09-01T00:00:00Z">
                      <w:dateFormat w:val="dd MMMM yyyy"/>
                      <w:lid w:val="en-AU"/>
                      <w:storeMappedDataAs w:val="dateTime"/>
                      <w:calendar w:val="gregorian"/>
                    </w:date>
                  </w:sdtPr>
                  <w:sdtEndPr/>
                  <w:sdtContent>
                    <w:r w:rsidR="00525B24">
                      <w:t>01 September 2020</w:t>
                    </w:r>
                  </w:sdtContent>
                </w:sdt>
              </w:p>
            </w:tc>
          </w:tr>
        </w:tbl>
        <w:p w14:paraId="5AAA0D27" w14:textId="79BB1A76" w:rsidR="009D1556" w:rsidRPr="0008618B" w:rsidRDefault="009D1556" w:rsidP="009D1556">
          <w:pPr>
            <w:pStyle w:val="BodyText"/>
          </w:pPr>
          <w:r>
            <w:rPr>
              <w:noProof/>
            </w:rPr>
            <w:drawing>
              <wp:anchor distT="0" distB="0" distL="114300" distR="114300" simplePos="0" relativeHeight="251665408" behindDoc="0" locked="1" layoutInCell="1" allowOverlap="1" wp14:anchorId="48C773A0" wp14:editId="26AB8E87">
                <wp:simplePos x="0" y="0"/>
                <wp:positionH relativeFrom="margin">
                  <wp:align>right</wp:align>
                </wp:positionH>
                <wp:positionV relativeFrom="page">
                  <wp:posOffset>648335</wp:posOffset>
                </wp:positionV>
                <wp:extent cx="1072800" cy="540000"/>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ite Logo-01.png"/>
                        <pic:cNvPicPr/>
                      </pic:nvPicPr>
                      <pic:blipFill>
                        <a:blip r:embed="rId9"/>
                        <a:stretch>
                          <a:fillRect/>
                        </a:stretch>
                      </pic:blipFill>
                      <pic:spPr>
                        <a:xfrm>
                          <a:off x="0" y="0"/>
                          <a:ext cx="1072800" cy="540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1" locked="1" layoutInCell="1" allowOverlap="1" wp14:anchorId="1E879CDF" wp14:editId="5399E9F5">
                <wp:simplePos x="0" y="0"/>
                <wp:positionH relativeFrom="page">
                  <wp:posOffset>0</wp:posOffset>
                </wp:positionH>
                <wp:positionV relativeFrom="page">
                  <wp:posOffset>0</wp:posOffset>
                </wp:positionV>
                <wp:extent cx="7560000" cy="6483600"/>
                <wp:effectExtent l="0" t="0" r="3175"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Cover 9-01.png"/>
                        <pic:cNvPicPr/>
                      </pic:nvPicPr>
                      <pic:blipFill>
                        <a:blip r:embed="rId10"/>
                        <a:stretch>
                          <a:fillRect/>
                        </a:stretch>
                      </pic:blipFill>
                      <pic:spPr>
                        <a:xfrm>
                          <a:off x="0" y="0"/>
                          <a:ext cx="7560000" cy="6483600"/>
                        </a:xfrm>
                        <a:prstGeom prst="rect">
                          <a:avLst/>
                        </a:prstGeom>
                      </pic:spPr>
                    </pic:pic>
                  </a:graphicData>
                </a:graphic>
                <wp14:sizeRelH relativeFrom="margin">
                  <wp14:pctWidth>0</wp14:pctWidth>
                </wp14:sizeRelH>
                <wp14:sizeRelV relativeFrom="margin">
                  <wp14:pctHeight>0</wp14:pctHeight>
                </wp14:sizeRelV>
              </wp:anchor>
            </w:drawing>
          </w:r>
        </w:p>
      </w:sdtContent>
    </w:sdt>
    <w:p w14:paraId="6E585D68" w14:textId="63D6D59C" w:rsidR="007156B2" w:rsidRPr="00867D51" w:rsidRDefault="007156B2" w:rsidP="00AA3054">
      <w:pPr>
        <w:pStyle w:val="BodyText"/>
        <w:tabs>
          <w:tab w:val="left" w:pos="567"/>
        </w:tabs>
      </w:pPr>
    </w:p>
    <w:p w14:paraId="4F045B76" w14:textId="77777777" w:rsidR="00CC22E1" w:rsidRDefault="00CC22E1">
      <w:pPr>
        <w:spacing w:before="80" w:after="80"/>
      </w:pPr>
      <w:r>
        <w:br w:type="page"/>
      </w:r>
    </w:p>
    <w:sdt>
      <w:sdtPr>
        <w:rPr>
          <w:rFonts w:eastAsia="Times New Roman" w:cs="Times New Roman"/>
          <w:b w:val="0"/>
          <w:color w:val="4E4E50" w:themeColor="text2"/>
          <w:szCs w:val="24"/>
          <w:lang w:eastAsia="en-AU"/>
        </w:rPr>
        <w:alias w:val="Inside Cover"/>
        <w:tag w:val="Inside Cover"/>
        <w:id w:val="-2045278697"/>
        <w:placeholder>
          <w:docPart w:val="A8DAE373642543F190F5068CB4BC0119"/>
        </w:placeholder>
        <w:docPartList>
          <w:docPartGallery w:val="AutoText"/>
          <w:docPartCategory w:val="Inside Covers"/>
        </w:docPartList>
      </w:sdtPr>
      <w:sdtEndPr/>
      <w:sdtContent>
        <w:tbl>
          <w:tblPr>
            <w:tblStyle w:val="TableNoBorders"/>
            <w:tblpPr w:leftFromText="181" w:rightFromText="181" w:horzAnchor="margin" w:tblpYSpec="bottom"/>
            <w:tblOverlap w:val="never"/>
            <w:tblW w:w="0" w:type="auto"/>
            <w:tblLook w:val="04A0" w:firstRow="1" w:lastRow="0" w:firstColumn="1" w:lastColumn="0" w:noHBand="0" w:noVBand="1"/>
          </w:tblPr>
          <w:tblGrid>
            <w:gridCol w:w="2694"/>
            <w:gridCol w:w="2693"/>
            <w:gridCol w:w="1417"/>
          </w:tblGrid>
          <w:tr w:rsidR="00CC22E1" w14:paraId="07226801" w14:textId="77777777" w:rsidTr="00CC22E1">
            <w:trPr>
              <w:trHeight w:val="1976"/>
            </w:trPr>
            <w:tc>
              <w:tcPr>
                <w:tcW w:w="5387" w:type="dxa"/>
                <w:gridSpan w:val="2"/>
                <w:tcBorders>
                  <w:bottom w:val="single" w:sz="4" w:space="0" w:color="4E4E50" w:themeColor="text2"/>
                </w:tcBorders>
                <w:vAlign w:val="center"/>
              </w:tcPr>
              <w:p w14:paraId="7535A14B" w14:textId="77777777" w:rsidR="00CC22E1" w:rsidRPr="00A46E5C" w:rsidRDefault="00CC22E1" w:rsidP="00717A5E">
                <w:pPr>
                  <w:pStyle w:val="InsideCoverHeading"/>
                  <w:framePr w:hSpace="0" w:wrap="auto" w:hAnchor="text" w:yAlign="inline"/>
                  <w:suppressOverlap w:val="0"/>
                </w:pPr>
                <w:r w:rsidRPr="00A46E5C">
                  <w:t>Contact:</w:t>
                </w:r>
              </w:p>
              <w:sdt>
                <w:sdtPr>
                  <w:alias w:val="Elton Contact Name"/>
                  <w:tag w:val=""/>
                  <w:id w:val="-1879777278"/>
                  <w:placeholder>
                    <w:docPart w:val="5F9790FCF78F4468B61936E532D37018"/>
                  </w:placeholder>
                  <w:dataBinding w:prefixMappings="xmlns:ns0='http://schemas.openxmlformats.org/officeDocument/2006/extended-properties' " w:xpath="/ns0:Properties[1]/ns0:Manager[1]" w:storeItemID="{6668398D-A668-4E3E-A5EB-62B293D839F1}"/>
                  <w:text/>
                </w:sdtPr>
                <w:sdtEndPr/>
                <w:sdtContent>
                  <w:p w14:paraId="2579BBE0" w14:textId="05E8FFB0" w:rsidR="00CC22E1" w:rsidRPr="00A46E5C" w:rsidRDefault="006C5EDF" w:rsidP="00717A5E">
                    <w:pPr>
                      <w:pStyle w:val="InsideCoverText"/>
                      <w:framePr w:hSpace="0" w:wrap="auto" w:hAnchor="text" w:yAlign="inline"/>
                      <w:spacing w:before="0" w:after="0"/>
                      <w:suppressOverlap w:val="0"/>
                    </w:pPr>
                    <w:r>
                      <w:t>Liz Densley</w:t>
                    </w:r>
                  </w:p>
                </w:sdtContent>
              </w:sdt>
              <w:sdt>
                <w:sdtPr>
                  <w:alias w:val="Elton Contact Email"/>
                  <w:tag w:val=""/>
                  <w:id w:val="407732353"/>
                  <w:placeholder>
                    <w:docPart w:val="2A8D2D62922E4543A64790019C967620"/>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4A293D24" w14:textId="45D9F33B" w:rsidR="00CC22E1" w:rsidRPr="00A46E5C" w:rsidRDefault="0088750F" w:rsidP="00717A5E">
                    <w:pPr>
                      <w:pStyle w:val="InsideCoverText"/>
                      <w:framePr w:hSpace="0" w:wrap="auto" w:hAnchor="text" w:yAlign="inline"/>
                      <w:spacing w:before="0" w:after="0"/>
                      <w:suppressOverlap w:val="0"/>
                    </w:pPr>
                    <w:r>
                      <w:t>Liz.densley@elton.com.au</w:t>
                    </w:r>
                  </w:p>
                </w:sdtContent>
              </w:sdt>
              <w:sdt>
                <w:sdtPr>
                  <w:alias w:val="Elton Contact Phone"/>
                  <w:tag w:val=""/>
                  <w:id w:val="954372377"/>
                  <w:placeholder>
                    <w:docPart w:val="7DC9DFC450B440008A1BACF1C18A59EA"/>
                  </w:placeholder>
                  <w:dataBinding w:prefixMappings="xmlns:ns0='http://purl.org/dc/elements/1.1/' xmlns:ns1='http://schemas.openxmlformats.org/package/2006/metadata/core-properties' " w:xpath="/ns1:coreProperties[1]/ns1:keywords[1]" w:storeItemID="{6C3C8BC8-F283-45AE-878A-BAB7291924A1}"/>
                  <w:text/>
                </w:sdtPr>
                <w:sdtEndPr/>
                <w:sdtContent>
                  <w:p w14:paraId="2B1B73D5" w14:textId="77777777" w:rsidR="00CC22E1" w:rsidRPr="00A46E5C" w:rsidRDefault="006C5EDF" w:rsidP="00717A5E">
                    <w:pPr>
                      <w:pStyle w:val="InsideCoverText"/>
                      <w:framePr w:hSpace="0" w:wrap="auto" w:hAnchor="text" w:yAlign="inline"/>
                      <w:spacing w:before="0" w:after="0"/>
                      <w:suppressOverlap w:val="0"/>
                    </w:pPr>
                    <w:r>
                      <w:t>9387 2600</w:t>
                    </w:r>
                  </w:p>
                </w:sdtContent>
              </w:sdt>
            </w:tc>
            <w:tc>
              <w:tcPr>
                <w:tcW w:w="1417" w:type="dxa"/>
              </w:tcPr>
              <w:p w14:paraId="57377F7B" w14:textId="77777777" w:rsidR="00CC22E1" w:rsidRDefault="00CC22E1" w:rsidP="00717A5E">
                <w:pPr>
                  <w:pStyle w:val="InsideCoverText"/>
                  <w:framePr w:hSpace="0" w:wrap="auto" w:hAnchor="text" w:yAlign="inline"/>
                  <w:suppressOverlap w:val="0"/>
                </w:pPr>
              </w:p>
            </w:tc>
          </w:tr>
          <w:tr w:rsidR="00CC22E1" w14:paraId="58E976D4" w14:textId="77777777" w:rsidTr="00CC22E1">
            <w:trPr>
              <w:trHeight w:val="1976"/>
            </w:trPr>
            <w:tc>
              <w:tcPr>
                <w:tcW w:w="5387" w:type="dxa"/>
                <w:gridSpan w:val="2"/>
                <w:tcBorders>
                  <w:top w:val="single" w:sz="4" w:space="0" w:color="4E4E50" w:themeColor="text2"/>
                  <w:bottom w:val="single" w:sz="4" w:space="0" w:color="4E4E50" w:themeColor="text2"/>
                </w:tcBorders>
                <w:vAlign w:val="center"/>
              </w:tcPr>
              <w:sdt>
                <w:sdtPr>
                  <w:alias w:val="Office1"/>
                  <w:tag w:val="Office1"/>
                  <w:id w:val="-775479807"/>
                  <w:placeholder>
                    <w:docPart w:val="A289480C540240B089606D04539D41EA"/>
                  </w:placeholder>
                  <w:text/>
                </w:sdtPr>
                <w:sdtEndPr/>
                <w:sdtContent>
                  <w:p w14:paraId="4DFCAB6E" w14:textId="664A1D6A" w:rsidR="00CC22E1" w:rsidRPr="00A46E5C" w:rsidRDefault="006C5EDF" w:rsidP="00717A5E">
                    <w:pPr>
                      <w:pStyle w:val="InsideCoverHeading"/>
                      <w:framePr w:hSpace="0" w:wrap="auto" w:hAnchor="text" w:yAlign="inline"/>
                      <w:spacing w:before="0"/>
                      <w:suppressOverlap w:val="0"/>
                    </w:pPr>
                    <w:r>
                      <w:t>CANBERRA02 9387 2600</w:t>
                    </w:r>
                  </w:p>
                </w:sdtContent>
              </w:sdt>
              <w:sdt>
                <w:sdtPr>
                  <w:alias w:val="Office2"/>
                  <w:tag w:val="Office2"/>
                  <w:id w:val="1193427567"/>
                  <w:placeholder>
                    <w:docPart w:val="A289480C540240B089606D04539D41EA"/>
                  </w:placeholder>
                  <w:text/>
                </w:sdtPr>
                <w:sdtEndPr/>
                <w:sdtContent>
                  <w:p w14:paraId="71497639" w14:textId="6E55A147" w:rsidR="00CC22E1" w:rsidRPr="00A46E5C" w:rsidRDefault="006C5EDF" w:rsidP="00717A5E">
                    <w:pPr>
                      <w:pStyle w:val="InsideCoverText"/>
                      <w:framePr w:hSpace="0" w:wrap="auto" w:hAnchor="text" w:yAlign="inline"/>
                      <w:spacing w:before="0" w:after="0"/>
                      <w:suppressOverlap w:val="0"/>
                    </w:pPr>
                    <w:r>
                      <w:t>Level 1, 121 Marcus Clarke Street, Canberra ACT 2600</w:t>
                    </w:r>
                  </w:p>
                </w:sdtContent>
              </w:sdt>
            </w:tc>
            <w:tc>
              <w:tcPr>
                <w:tcW w:w="1417" w:type="dxa"/>
              </w:tcPr>
              <w:p w14:paraId="2A494BB0" w14:textId="77777777" w:rsidR="00CC22E1" w:rsidRDefault="00CC22E1" w:rsidP="00717A5E">
                <w:pPr>
                  <w:pStyle w:val="InsideCoverText"/>
                  <w:framePr w:hSpace="0" w:wrap="auto" w:hAnchor="text" w:yAlign="inline"/>
                  <w:suppressOverlap w:val="0"/>
                </w:pPr>
              </w:p>
            </w:tc>
          </w:tr>
          <w:tr w:rsidR="00CC22E1" w14:paraId="5444EEBA" w14:textId="77777777" w:rsidTr="00CC22E1">
            <w:trPr>
              <w:trHeight w:val="3523"/>
            </w:trPr>
            <w:tc>
              <w:tcPr>
                <w:tcW w:w="5387" w:type="dxa"/>
                <w:gridSpan w:val="2"/>
                <w:tcBorders>
                  <w:top w:val="single" w:sz="4" w:space="0" w:color="4E4E50" w:themeColor="text2"/>
                  <w:bottom w:val="single" w:sz="4" w:space="0" w:color="4E4E50" w:themeColor="text2"/>
                </w:tcBorders>
              </w:tcPr>
              <w:p w14:paraId="0F807F55" w14:textId="77777777" w:rsidR="00CC22E1" w:rsidRDefault="00CC22E1" w:rsidP="00717A5E">
                <w:pPr>
                  <w:pStyle w:val="InsideCoverText"/>
                  <w:framePr w:hSpace="0" w:wrap="auto" w:hAnchor="text" w:yAlign="inline"/>
                  <w:spacing w:before="80" w:after="0"/>
                  <w:suppressOverlap w:val="0"/>
                </w:pPr>
              </w:p>
              <w:p w14:paraId="4FA18AF6" w14:textId="25B81A24" w:rsidR="00CC22E1" w:rsidRPr="00C56BB2" w:rsidRDefault="00CE4039" w:rsidP="00717A5E">
                <w:pPr>
                  <w:pStyle w:val="InsideCoverText"/>
                  <w:framePr w:hSpace="0" w:wrap="auto" w:hAnchor="text" w:yAlign="inline"/>
                  <w:spacing w:before="0" w:after="0"/>
                  <w:suppressOverlap w:val="0"/>
                </w:pPr>
                <w:hyperlink r:id="rId11" w:history="1">
                  <w:r w:rsidR="00CC22E1" w:rsidRPr="00C56BB2">
                    <w:t>www.elton.com.au</w:t>
                  </w:r>
                </w:hyperlink>
              </w:p>
              <w:p w14:paraId="035CEA38" w14:textId="22CFA2D5" w:rsidR="00CC22E1" w:rsidRPr="00C56BB2" w:rsidRDefault="00CE4039" w:rsidP="00717A5E">
                <w:pPr>
                  <w:pStyle w:val="InsideCoverText"/>
                  <w:framePr w:hSpace="0" w:wrap="auto" w:hAnchor="text" w:yAlign="inline"/>
                  <w:spacing w:before="0" w:after="0"/>
                  <w:suppressOverlap w:val="0"/>
                </w:pPr>
                <w:hyperlink r:id="rId12" w:history="1">
                  <w:r w:rsidR="00CC22E1" w:rsidRPr="00C56BB2">
                    <w:t>consulting@elton.com.au</w:t>
                  </w:r>
                </w:hyperlink>
              </w:p>
              <w:p w14:paraId="1E921A92" w14:textId="77777777" w:rsidR="00CC22E1" w:rsidRPr="00C56BB2" w:rsidRDefault="00CC22E1" w:rsidP="00717A5E">
                <w:pPr>
                  <w:pStyle w:val="InsideCoverText"/>
                  <w:framePr w:hSpace="0" w:wrap="auto" w:hAnchor="text" w:yAlign="inline"/>
                  <w:spacing w:before="0" w:after="0"/>
                  <w:suppressOverlap w:val="0"/>
                </w:pPr>
                <w:r w:rsidRPr="00C56BB2">
                  <w:t xml:space="preserve">Sydney | </w:t>
                </w:r>
                <w:r>
                  <w:t xml:space="preserve">Brisbane | </w:t>
                </w:r>
                <w:r w:rsidRPr="00C56BB2">
                  <w:t>Canberra | Darwin</w:t>
                </w:r>
                <w:r>
                  <w:t xml:space="preserve"> | Melbourne | Perth</w:t>
                </w:r>
              </w:p>
              <w:p w14:paraId="66121DAA" w14:textId="77777777" w:rsidR="00CC22E1" w:rsidRDefault="00CC22E1" w:rsidP="00717A5E">
                <w:pPr>
                  <w:pStyle w:val="InsideCoverText"/>
                  <w:framePr w:hSpace="0" w:wrap="auto" w:hAnchor="text" w:yAlign="inline"/>
                  <w:spacing w:before="0" w:after="0"/>
                  <w:suppressOverlap w:val="0"/>
                </w:pPr>
                <w:r w:rsidRPr="00C56BB2">
                  <w:t>ABN 56 003 853 101</w:t>
                </w:r>
              </w:p>
            </w:tc>
            <w:tc>
              <w:tcPr>
                <w:tcW w:w="1417" w:type="dxa"/>
                <w:tcBorders>
                  <w:bottom w:val="single" w:sz="4" w:space="0" w:color="4E4E50" w:themeColor="text2"/>
                </w:tcBorders>
              </w:tcPr>
              <w:p w14:paraId="6008FFA9" w14:textId="77777777" w:rsidR="00CC22E1" w:rsidRDefault="00CC22E1" w:rsidP="00717A5E">
                <w:pPr>
                  <w:pStyle w:val="InsideCoverText"/>
                  <w:framePr w:hSpace="0" w:wrap="auto" w:hAnchor="text" w:yAlign="inline"/>
                  <w:suppressOverlap w:val="0"/>
                </w:pPr>
              </w:p>
            </w:tc>
          </w:tr>
          <w:tr w:rsidR="00CC22E1" w14:paraId="6DFBAF4C" w14:textId="77777777" w:rsidTr="00717A5E">
            <w:tc>
              <w:tcPr>
                <w:tcW w:w="2694" w:type="dxa"/>
                <w:tcBorders>
                  <w:top w:val="single" w:sz="4" w:space="0" w:color="4E4E50" w:themeColor="text2"/>
                  <w:bottom w:val="single" w:sz="4" w:space="0" w:color="4E4E50" w:themeColor="text2"/>
                </w:tcBorders>
              </w:tcPr>
              <w:p w14:paraId="73874AD5" w14:textId="77777777" w:rsidR="00CC22E1" w:rsidRPr="00D2203B" w:rsidRDefault="00CC22E1" w:rsidP="00717A5E">
                <w:pPr>
                  <w:pStyle w:val="InsideCoverHeading"/>
                  <w:framePr w:hSpace="0" w:wrap="auto" w:hAnchor="text" w:yAlign="inline"/>
                  <w:suppressOverlap w:val="0"/>
                </w:pPr>
                <w:r w:rsidRPr="00D2203B">
                  <w:t>Prepared by</w:t>
                </w:r>
              </w:p>
            </w:tc>
            <w:tc>
              <w:tcPr>
                <w:tcW w:w="4110" w:type="dxa"/>
                <w:gridSpan w:val="2"/>
                <w:tcBorders>
                  <w:top w:val="single" w:sz="4" w:space="0" w:color="4E4E50" w:themeColor="text2"/>
                  <w:bottom w:val="single" w:sz="4" w:space="0" w:color="4E4E50" w:themeColor="text2"/>
                </w:tcBorders>
                <w:vAlign w:val="center"/>
              </w:tcPr>
              <w:p w14:paraId="284EB17C" w14:textId="243713D4" w:rsidR="00CC22E1" w:rsidRPr="00173A98" w:rsidRDefault="00FA4E2A" w:rsidP="00717A5E">
                <w:pPr>
                  <w:pStyle w:val="InsideCoverText"/>
                  <w:framePr w:hSpace="0" w:wrap="auto" w:hAnchor="text" w:yAlign="inline"/>
                  <w:suppressOverlap w:val="0"/>
                  <w:rPr>
                    <w:color w:val="auto"/>
                  </w:rPr>
                </w:pPr>
                <w:r>
                  <w:rPr>
                    <w:color w:val="auto"/>
                  </w:rPr>
                  <w:t>Claire Adams</w:t>
                </w:r>
                <w:r w:rsidR="00FE5C2C">
                  <w:rPr>
                    <w:color w:val="auto"/>
                  </w:rPr>
                  <w:t xml:space="preserve"> and Will Pearson</w:t>
                </w:r>
              </w:p>
            </w:tc>
          </w:tr>
          <w:tr w:rsidR="00CC22E1" w14:paraId="7CEB5CC8" w14:textId="77777777" w:rsidTr="00717A5E">
            <w:tc>
              <w:tcPr>
                <w:tcW w:w="2694" w:type="dxa"/>
                <w:tcBorders>
                  <w:top w:val="single" w:sz="4" w:space="0" w:color="4E4E50" w:themeColor="text2"/>
                  <w:bottom w:val="single" w:sz="4" w:space="0" w:color="4E4E50" w:themeColor="text2"/>
                </w:tcBorders>
              </w:tcPr>
              <w:p w14:paraId="6B80DADC" w14:textId="77777777" w:rsidR="00CC22E1" w:rsidRPr="00D2203B" w:rsidRDefault="00CC22E1" w:rsidP="00717A5E">
                <w:pPr>
                  <w:pStyle w:val="InsideCoverHeading"/>
                  <w:framePr w:hSpace="0" w:wrap="auto" w:hAnchor="text" w:yAlign="inline"/>
                  <w:suppressOverlap w:val="0"/>
                </w:pPr>
                <w:r w:rsidRPr="00D2203B">
                  <w:t>Reviewed by</w:t>
                </w:r>
              </w:p>
            </w:tc>
            <w:tc>
              <w:tcPr>
                <w:tcW w:w="4110" w:type="dxa"/>
                <w:gridSpan w:val="2"/>
                <w:tcBorders>
                  <w:top w:val="single" w:sz="4" w:space="0" w:color="4E4E50" w:themeColor="text2"/>
                  <w:bottom w:val="single" w:sz="4" w:space="0" w:color="4E4E50" w:themeColor="text2"/>
                </w:tcBorders>
                <w:vAlign w:val="center"/>
              </w:tcPr>
              <w:p w14:paraId="49592B9F" w14:textId="1E20F219" w:rsidR="00CC22E1" w:rsidRPr="00173A98" w:rsidRDefault="00F15AE1" w:rsidP="00717A5E">
                <w:pPr>
                  <w:pStyle w:val="InsideCoverText"/>
                  <w:framePr w:hSpace="0" w:wrap="auto" w:hAnchor="text" w:yAlign="inline"/>
                  <w:suppressOverlap w:val="0"/>
                  <w:rPr>
                    <w:color w:val="auto"/>
                  </w:rPr>
                </w:pPr>
                <w:r>
                  <w:rPr>
                    <w:color w:val="auto"/>
                  </w:rPr>
                  <w:t>Sophie Butcher</w:t>
                </w:r>
                <w:r w:rsidR="007D5A6D">
                  <w:rPr>
                    <w:color w:val="auto"/>
                  </w:rPr>
                  <w:t xml:space="preserve"> </w:t>
                </w:r>
                <w:r w:rsidR="00FA6BB4">
                  <w:rPr>
                    <w:color w:val="auto"/>
                  </w:rPr>
                  <w:t xml:space="preserve">and Liz Densley </w:t>
                </w:r>
              </w:p>
            </w:tc>
          </w:tr>
          <w:tr w:rsidR="00CC22E1" w14:paraId="3DF57639" w14:textId="77777777" w:rsidTr="00717A5E">
            <w:tc>
              <w:tcPr>
                <w:tcW w:w="2694" w:type="dxa"/>
                <w:tcBorders>
                  <w:top w:val="single" w:sz="4" w:space="0" w:color="4E4E50" w:themeColor="text2"/>
                  <w:bottom w:val="single" w:sz="4" w:space="0" w:color="4E4E50" w:themeColor="text2"/>
                </w:tcBorders>
              </w:tcPr>
              <w:p w14:paraId="6C5365AE" w14:textId="77777777" w:rsidR="00CC22E1" w:rsidRPr="00D2203B" w:rsidRDefault="00CC22E1" w:rsidP="00717A5E">
                <w:pPr>
                  <w:pStyle w:val="InsideCoverHeading"/>
                  <w:framePr w:hSpace="0" w:wrap="auto" w:hAnchor="text" w:yAlign="inline"/>
                  <w:suppressOverlap w:val="0"/>
                </w:pPr>
                <w:r w:rsidRPr="00D2203B">
                  <w:t>Date</w:t>
                </w:r>
              </w:p>
            </w:tc>
            <w:sdt>
              <w:sdtPr>
                <w:rPr>
                  <w:color w:val="auto"/>
                </w:rPr>
                <w:id w:val="-399434732"/>
                <w:placeholder>
                  <w:docPart w:val="F37DE9EA47A5440B8083C1A6114971F8"/>
                </w:placeholder>
                <w:date w:fullDate="2020-09-01T00:00:00Z">
                  <w:dateFormat w:val="d MMMM yyyy"/>
                  <w:lid w:val="en-AU"/>
                  <w:storeMappedDataAs w:val="dateTime"/>
                  <w:calendar w:val="gregorian"/>
                </w:date>
              </w:sdtPr>
              <w:sdtEndPr/>
              <w:sdtContent>
                <w:tc>
                  <w:tcPr>
                    <w:tcW w:w="4110" w:type="dxa"/>
                    <w:gridSpan w:val="2"/>
                    <w:tcBorders>
                      <w:top w:val="single" w:sz="4" w:space="0" w:color="4E4E50" w:themeColor="text2"/>
                      <w:bottom w:val="single" w:sz="4" w:space="0" w:color="4E4E50" w:themeColor="text2"/>
                    </w:tcBorders>
                    <w:vAlign w:val="center"/>
                  </w:tcPr>
                  <w:p w14:paraId="5670BC52" w14:textId="79DB9178" w:rsidR="00CC22E1" w:rsidRPr="00173A98" w:rsidRDefault="00420A9C" w:rsidP="00717A5E">
                    <w:pPr>
                      <w:pStyle w:val="InsideCoverText"/>
                      <w:framePr w:hSpace="0" w:wrap="auto" w:hAnchor="text" w:yAlign="inline"/>
                      <w:suppressOverlap w:val="0"/>
                      <w:rPr>
                        <w:color w:val="auto"/>
                      </w:rPr>
                    </w:pPr>
                    <w:r>
                      <w:rPr>
                        <w:color w:val="auto"/>
                      </w:rPr>
                      <w:t>1 September 2020</w:t>
                    </w:r>
                  </w:p>
                </w:tc>
              </w:sdtContent>
            </w:sdt>
          </w:tr>
          <w:tr w:rsidR="00CC22E1" w14:paraId="7B1CC396" w14:textId="77777777" w:rsidTr="00717A5E">
            <w:tc>
              <w:tcPr>
                <w:tcW w:w="2694" w:type="dxa"/>
                <w:tcBorders>
                  <w:top w:val="single" w:sz="4" w:space="0" w:color="4E4E50" w:themeColor="text2"/>
                  <w:bottom w:val="single" w:sz="4" w:space="0" w:color="4E4E50" w:themeColor="text2"/>
                </w:tcBorders>
              </w:tcPr>
              <w:p w14:paraId="0CC539C8" w14:textId="77777777" w:rsidR="00CC22E1" w:rsidRPr="00D2203B" w:rsidRDefault="00CC22E1" w:rsidP="00717A5E">
                <w:pPr>
                  <w:pStyle w:val="InsideCoverHeading"/>
                  <w:framePr w:hSpace="0" w:wrap="auto" w:hAnchor="text" w:yAlign="inline"/>
                  <w:suppressOverlap w:val="0"/>
                </w:pPr>
                <w:r w:rsidRPr="00D2203B">
                  <w:t>Version</w:t>
                </w:r>
              </w:p>
            </w:tc>
            <w:tc>
              <w:tcPr>
                <w:tcW w:w="4110" w:type="dxa"/>
                <w:gridSpan w:val="2"/>
                <w:tcBorders>
                  <w:top w:val="single" w:sz="4" w:space="0" w:color="4E4E50" w:themeColor="text2"/>
                  <w:bottom w:val="single" w:sz="4" w:space="0" w:color="4E4E50" w:themeColor="text2"/>
                </w:tcBorders>
                <w:vAlign w:val="center"/>
              </w:tcPr>
              <w:p w14:paraId="054675AB" w14:textId="14C73E9E" w:rsidR="00CC22E1" w:rsidRPr="00173A98" w:rsidRDefault="00420A9C" w:rsidP="00717A5E">
                <w:pPr>
                  <w:pStyle w:val="InsideCoverText"/>
                  <w:framePr w:hSpace="0" w:wrap="auto" w:hAnchor="text" w:yAlign="inline"/>
                  <w:suppressOverlap w:val="0"/>
                  <w:rPr>
                    <w:color w:val="auto"/>
                  </w:rPr>
                </w:pPr>
                <w:r>
                  <w:rPr>
                    <w:color w:val="auto"/>
                  </w:rPr>
                  <w:t>1.2</w:t>
                </w:r>
              </w:p>
            </w:tc>
          </w:tr>
          <w:tr w:rsidR="00CC22E1" w14:paraId="3D47AC6E" w14:textId="77777777" w:rsidTr="00717A5E">
            <w:tc>
              <w:tcPr>
                <w:tcW w:w="2694" w:type="dxa"/>
                <w:tcBorders>
                  <w:top w:val="single" w:sz="4" w:space="0" w:color="4E4E50" w:themeColor="text2"/>
                </w:tcBorders>
              </w:tcPr>
              <w:p w14:paraId="1988409D" w14:textId="77777777" w:rsidR="00CC22E1" w:rsidRPr="00C174E3" w:rsidRDefault="00CC22E1" w:rsidP="00717A5E">
                <w:pPr>
                  <w:rPr>
                    <w:sz w:val="22"/>
                  </w:rPr>
                </w:pPr>
              </w:p>
            </w:tc>
            <w:tc>
              <w:tcPr>
                <w:tcW w:w="4110" w:type="dxa"/>
                <w:gridSpan w:val="2"/>
                <w:tcBorders>
                  <w:top w:val="single" w:sz="4" w:space="0" w:color="4E4E50" w:themeColor="text2"/>
                </w:tcBorders>
              </w:tcPr>
              <w:p w14:paraId="1B2388E6" w14:textId="77777777" w:rsidR="00CC22E1" w:rsidRPr="00C174E3" w:rsidRDefault="00CC22E1" w:rsidP="00717A5E">
                <w:pPr>
                  <w:rPr>
                    <w:sz w:val="22"/>
                  </w:rPr>
                </w:pPr>
              </w:p>
            </w:tc>
          </w:tr>
        </w:tbl>
        <w:p w14:paraId="01AEDFBE" w14:textId="77777777" w:rsidR="00EF5EEB" w:rsidRPr="00A11BBA" w:rsidRDefault="00CE4039" w:rsidP="00A11BBA">
          <w:pPr>
            <w:pStyle w:val="BodyText"/>
          </w:pPr>
        </w:p>
      </w:sdtContent>
    </w:sdt>
    <w:p w14:paraId="2CCA1F17" w14:textId="77777777" w:rsidR="00A46E5C" w:rsidRPr="00A11BBA" w:rsidRDefault="00A46E5C" w:rsidP="00A11BBA">
      <w:pPr>
        <w:pStyle w:val="BodyText"/>
      </w:pPr>
    </w:p>
    <w:p w14:paraId="61178F7F" w14:textId="77777777" w:rsidR="00F7794A" w:rsidRPr="00A11BBA" w:rsidRDefault="00F7794A" w:rsidP="00A11BBA">
      <w:pPr>
        <w:pStyle w:val="BodyText"/>
        <w:sectPr w:rsidR="00F7794A" w:rsidRPr="00A11BBA" w:rsidSect="005A6D1D">
          <w:headerReference w:type="even" r:id="rId13"/>
          <w:headerReference w:type="default" r:id="rId14"/>
          <w:footerReference w:type="even" r:id="rId15"/>
          <w:footerReference w:type="default" r:id="rId16"/>
          <w:headerReference w:type="first" r:id="rId17"/>
          <w:footerReference w:type="first" r:id="rId18"/>
          <w:pgSz w:w="11906" w:h="16838" w:code="9"/>
          <w:pgMar w:top="1418" w:right="907" w:bottom="680" w:left="907" w:header="454" w:footer="454" w:gutter="0"/>
          <w:pgNumType w:start="0"/>
          <w:cols w:space="708"/>
          <w:docGrid w:linePitch="360"/>
        </w:sectPr>
      </w:pPr>
    </w:p>
    <w:p w14:paraId="5FE8D952" w14:textId="77777777" w:rsidR="000A0F7A" w:rsidRDefault="00123C94" w:rsidP="00123C94">
      <w:pPr>
        <w:pStyle w:val="TOCHeading"/>
      </w:pPr>
      <w:r>
        <w:lastRenderedPageBreak/>
        <w:t>Contents</w:t>
      </w:r>
    </w:p>
    <w:p w14:paraId="10C3ECBE" w14:textId="74D5415F" w:rsidR="008F4696" w:rsidRDefault="00DF4D10">
      <w:pPr>
        <w:pStyle w:val="TOC4"/>
        <w:rPr>
          <w:rFonts w:eastAsiaTheme="minorEastAsia"/>
          <w:b w:val="0"/>
          <w:caps w:val="0"/>
          <w:noProof/>
          <w:color w:val="auto"/>
          <w:sz w:val="22"/>
          <w:lang w:val="en-US" w:eastAsia="en-US"/>
        </w:rPr>
      </w:pPr>
      <w:r w:rsidRPr="00113385">
        <w:rPr>
          <w:b w:val="0"/>
        </w:rPr>
        <w:fldChar w:fldCharType="begin"/>
      </w:r>
      <w:r w:rsidRPr="00113385">
        <w:rPr>
          <w:b w:val="0"/>
        </w:rPr>
        <w:instrText xml:space="preserve"> TOC \h \z \t "Heading 1,4,Heading 2,5,Heading 3,6,Alt Heading 1,1,Alt Heading 2,2,Alt Heading 3,3" </w:instrText>
      </w:r>
      <w:r w:rsidRPr="00113385">
        <w:rPr>
          <w:b w:val="0"/>
        </w:rPr>
        <w:fldChar w:fldCharType="separate"/>
      </w:r>
      <w:hyperlink w:anchor="_Toc48230297" w:history="1">
        <w:r w:rsidR="008F4696" w:rsidRPr="00BB6278">
          <w:rPr>
            <w:rStyle w:val="Hyperlink"/>
            <w:noProof/>
          </w:rPr>
          <w:t>1.</w:t>
        </w:r>
        <w:r w:rsidR="008F4696">
          <w:rPr>
            <w:rFonts w:eastAsiaTheme="minorEastAsia"/>
            <w:b w:val="0"/>
            <w:caps w:val="0"/>
            <w:noProof/>
            <w:color w:val="auto"/>
            <w:sz w:val="22"/>
            <w:lang w:val="en-US" w:eastAsia="en-US"/>
          </w:rPr>
          <w:tab/>
        </w:r>
        <w:r w:rsidR="008F4696" w:rsidRPr="00BB6278">
          <w:rPr>
            <w:rStyle w:val="Hyperlink"/>
            <w:noProof/>
          </w:rPr>
          <w:t>Executive Summary and Recommendation</w:t>
        </w:r>
        <w:r w:rsidR="008F4696">
          <w:rPr>
            <w:noProof/>
            <w:webHidden/>
          </w:rPr>
          <w:tab/>
        </w:r>
        <w:r w:rsidR="008F4696">
          <w:rPr>
            <w:noProof/>
            <w:webHidden/>
          </w:rPr>
          <w:fldChar w:fldCharType="begin"/>
        </w:r>
        <w:r w:rsidR="008F4696">
          <w:rPr>
            <w:noProof/>
            <w:webHidden/>
          </w:rPr>
          <w:instrText xml:space="preserve"> PAGEREF _Toc48230297 \h </w:instrText>
        </w:r>
        <w:r w:rsidR="008F4696">
          <w:rPr>
            <w:noProof/>
            <w:webHidden/>
          </w:rPr>
        </w:r>
        <w:r w:rsidR="008F4696">
          <w:rPr>
            <w:noProof/>
            <w:webHidden/>
          </w:rPr>
          <w:fldChar w:fldCharType="separate"/>
        </w:r>
        <w:r w:rsidR="008F4696">
          <w:rPr>
            <w:noProof/>
            <w:webHidden/>
          </w:rPr>
          <w:t>4</w:t>
        </w:r>
        <w:r w:rsidR="008F4696">
          <w:rPr>
            <w:noProof/>
            <w:webHidden/>
          </w:rPr>
          <w:fldChar w:fldCharType="end"/>
        </w:r>
      </w:hyperlink>
    </w:p>
    <w:p w14:paraId="475DE354" w14:textId="39B0B8C3" w:rsidR="008F4696" w:rsidRDefault="00CE4039">
      <w:pPr>
        <w:pStyle w:val="TOC5"/>
        <w:rPr>
          <w:rFonts w:eastAsiaTheme="minorEastAsia"/>
          <w:noProof/>
          <w:color w:val="auto"/>
          <w:sz w:val="22"/>
          <w:lang w:val="en-US"/>
        </w:rPr>
      </w:pPr>
      <w:hyperlink w:anchor="_Toc48230298" w:history="1">
        <w:r w:rsidR="008F4696" w:rsidRPr="00BB6278">
          <w:rPr>
            <w:rStyle w:val="Hyperlink"/>
            <w:noProof/>
          </w:rPr>
          <w:t>1.1</w:t>
        </w:r>
        <w:r w:rsidR="008F4696">
          <w:rPr>
            <w:rFonts w:eastAsiaTheme="minorEastAsia"/>
            <w:noProof/>
            <w:color w:val="auto"/>
            <w:sz w:val="22"/>
            <w:lang w:val="en-US"/>
          </w:rPr>
          <w:tab/>
        </w:r>
        <w:r w:rsidR="008F4696" w:rsidRPr="00BB6278">
          <w:rPr>
            <w:rStyle w:val="Hyperlink"/>
            <w:noProof/>
          </w:rPr>
          <w:t>Application Description</w:t>
        </w:r>
        <w:r w:rsidR="008F4696">
          <w:rPr>
            <w:noProof/>
            <w:webHidden/>
          </w:rPr>
          <w:tab/>
        </w:r>
        <w:r w:rsidR="008F4696">
          <w:rPr>
            <w:noProof/>
            <w:webHidden/>
          </w:rPr>
          <w:fldChar w:fldCharType="begin"/>
        </w:r>
        <w:r w:rsidR="008F4696">
          <w:rPr>
            <w:noProof/>
            <w:webHidden/>
          </w:rPr>
          <w:instrText xml:space="preserve"> PAGEREF _Toc48230298 \h </w:instrText>
        </w:r>
        <w:r w:rsidR="008F4696">
          <w:rPr>
            <w:noProof/>
            <w:webHidden/>
          </w:rPr>
        </w:r>
        <w:r w:rsidR="008F4696">
          <w:rPr>
            <w:noProof/>
            <w:webHidden/>
          </w:rPr>
          <w:fldChar w:fldCharType="separate"/>
        </w:r>
        <w:r w:rsidR="008F4696">
          <w:rPr>
            <w:noProof/>
            <w:webHidden/>
          </w:rPr>
          <w:t>4</w:t>
        </w:r>
        <w:r w:rsidR="008F4696">
          <w:rPr>
            <w:noProof/>
            <w:webHidden/>
          </w:rPr>
          <w:fldChar w:fldCharType="end"/>
        </w:r>
      </w:hyperlink>
    </w:p>
    <w:p w14:paraId="77E6F118" w14:textId="090D9F79" w:rsidR="008F4696" w:rsidRDefault="00CE4039">
      <w:pPr>
        <w:pStyle w:val="TOC5"/>
        <w:rPr>
          <w:rFonts w:eastAsiaTheme="minorEastAsia"/>
          <w:noProof/>
          <w:color w:val="auto"/>
          <w:sz w:val="22"/>
          <w:lang w:val="en-US"/>
        </w:rPr>
      </w:pPr>
      <w:hyperlink w:anchor="_Toc48230299" w:history="1">
        <w:r w:rsidR="008F4696" w:rsidRPr="00BB6278">
          <w:rPr>
            <w:rStyle w:val="Hyperlink"/>
            <w:noProof/>
          </w:rPr>
          <w:t>1.2</w:t>
        </w:r>
        <w:r w:rsidR="008F4696">
          <w:rPr>
            <w:rFonts w:eastAsiaTheme="minorEastAsia"/>
            <w:noProof/>
            <w:color w:val="auto"/>
            <w:sz w:val="22"/>
            <w:lang w:val="en-US"/>
          </w:rPr>
          <w:tab/>
        </w:r>
        <w:r w:rsidR="008F4696" w:rsidRPr="00BB6278">
          <w:rPr>
            <w:rStyle w:val="Hyperlink"/>
            <w:noProof/>
          </w:rPr>
          <w:t>Summary</w:t>
        </w:r>
        <w:r w:rsidR="008F4696">
          <w:rPr>
            <w:noProof/>
            <w:webHidden/>
          </w:rPr>
          <w:tab/>
        </w:r>
        <w:r w:rsidR="008F4696">
          <w:rPr>
            <w:noProof/>
            <w:webHidden/>
          </w:rPr>
          <w:fldChar w:fldCharType="begin"/>
        </w:r>
        <w:r w:rsidR="008F4696">
          <w:rPr>
            <w:noProof/>
            <w:webHidden/>
          </w:rPr>
          <w:instrText xml:space="preserve"> PAGEREF _Toc48230299 \h </w:instrText>
        </w:r>
        <w:r w:rsidR="008F4696">
          <w:rPr>
            <w:noProof/>
            <w:webHidden/>
          </w:rPr>
        </w:r>
        <w:r w:rsidR="008F4696">
          <w:rPr>
            <w:noProof/>
            <w:webHidden/>
          </w:rPr>
          <w:fldChar w:fldCharType="separate"/>
        </w:r>
        <w:r w:rsidR="008F4696">
          <w:rPr>
            <w:noProof/>
            <w:webHidden/>
          </w:rPr>
          <w:t>5</w:t>
        </w:r>
        <w:r w:rsidR="008F4696">
          <w:rPr>
            <w:noProof/>
            <w:webHidden/>
          </w:rPr>
          <w:fldChar w:fldCharType="end"/>
        </w:r>
      </w:hyperlink>
    </w:p>
    <w:p w14:paraId="71BC0EEA" w14:textId="17F57A86" w:rsidR="008F4696" w:rsidRDefault="00CE4039">
      <w:pPr>
        <w:pStyle w:val="TOC5"/>
        <w:rPr>
          <w:rFonts w:eastAsiaTheme="minorEastAsia"/>
          <w:noProof/>
          <w:color w:val="auto"/>
          <w:sz w:val="22"/>
          <w:lang w:val="en-US"/>
        </w:rPr>
      </w:pPr>
      <w:hyperlink w:anchor="_Toc48230300" w:history="1">
        <w:r w:rsidR="008F4696" w:rsidRPr="00BB6278">
          <w:rPr>
            <w:rStyle w:val="Hyperlink"/>
            <w:noProof/>
          </w:rPr>
          <w:t>1.3</w:t>
        </w:r>
        <w:r w:rsidR="008F4696">
          <w:rPr>
            <w:rFonts w:eastAsiaTheme="minorEastAsia"/>
            <w:noProof/>
            <w:color w:val="auto"/>
            <w:sz w:val="22"/>
            <w:lang w:val="en-US"/>
          </w:rPr>
          <w:tab/>
        </w:r>
        <w:r w:rsidR="008F4696" w:rsidRPr="00BB6278">
          <w:rPr>
            <w:rStyle w:val="Hyperlink"/>
            <w:noProof/>
          </w:rPr>
          <w:t>Recommendation</w:t>
        </w:r>
        <w:r w:rsidR="008F4696">
          <w:rPr>
            <w:noProof/>
            <w:webHidden/>
          </w:rPr>
          <w:tab/>
        </w:r>
        <w:r w:rsidR="008F4696">
          <w:rPr>
            <w:noProof/>
            <w:webHidden/>
          </w:rPr>
          <w:fldChar w:fldCharType="begin"/>
        </w:r>
        <w:r w:rsidR="008F4696">
          <w:rPr>
            <w:noProof/>
            <w:webHidden/>
          </w:rPr>
          <w:instrText xml:space="preserve"> PAGEREF _Toc48230300 \h </w:instrText>
        </w:r>
        <w:r w:rsidR="008F4696">
          <w:rPr>
            <w:noProof/>
            <w:webHidden/>
          </w:rPr>
        </w:r>
        <w:r w:rsidR="008F4696">
          <w:rPr>
            <w:noProof/>
            <w:webHidden/>
          </w:rPr>
          <w:fldChar w:fldCharType="separate"/>
        </w:r>
        <w:r w:rsidR="008F4696">
          <w:rPr>
            <w:noProof/>
            <w:webHidden/>
          </w:rPr>
          <w:t>6</w:t>
        </w:r>
        <w:r w:rsidR="008F4696">
          <w:rPr>
            <w:noProof/>
            <w:webHidden/>
          </w:rPr>
          <w:fldChar w:fldCharType="end"/>
        </w:r>
      </w:hyperlink>
    </w:p>
    <w:p w14:paraId="5695281C" w14:textId="6B4548B1" w:rsidR="008F4696" w:rsidRDefault="00CE4039">
      <w:pPr>
        <w:pStyle w:val="TOC4"/>
        <w:rPr>
          <w:rFonts w:eastAsiaTheme="minorEastAsia"/>
          <w:b w:val="0"/>
          <w:caps w:val="0"/>
          <w:noProof/>
          <w:color w:val="auto"/>
          <w:sz w:val="22"/>
          <w:lang w:val="en-US" w:eastAsia="en-US"/>
        </w:rPr>
      </w:pPr>
      <w:hyperlink w:anchor="_Toc48230301" w:history="1">
        <w:r w:rsidR="008F4696" w:rsidRPr="00BB6278">
          <w:rPr>
            <w:rStyle w:val="Hyperlink"/>
            <w:noProof/>
          </w:rPr>
          <w:t>2</w:t>
        </w:r>
        <w:r w:rsidR="008F4696">
          <w:rPr>
            <w:rFonts w:eastAsiaTheme="minorEastAsia"/>
            <w:b w:val="0"/>
            <w:caps w:val="0"/>
            <w:noProof/>
            <w:color w:val="auto"/>
            <w:sz w:val="22"/>
            <w:lang w:val="en-US" w:eastAsia="en-US"/>
          </w:rPr>
          <w:tab/>
        </w:r>
        <w:r w:rsidR="008F4696" w:rsidRPr="00BB6278">
          <w:rPr>
            <w:rStyle w:val="Hyperlink"/>
            <w:noProof/>
          </w:rPr>
          <w:t>Site Context</w:t>
        </w:r>
        <w:r w:rsidR="008F4696">
          <w:rPr>
            <w:noProof/>
            <w:webHidden/>
          </w:rPr>
          <w:tab/>
        </w:r>
        <w:r w:rsidR="008F4696">
          <w:rPr>
            <w:noProof/>
            <w:webHidden/>
          </w:rPr>
          <w:fldChar w:fldCharType="begin"/>
        </w:r>
        <w:r w:rsidR="008F4696">
          <w:rPr>
            <w:noProof/>
            <w:webHidden/>
          </w:rPr>
          <w:instrText xml:space="preserve"> PAGEREF _Toc48230301 \h </w:instrText>
        </w:r>
        <w:r w:rsidR="008F4696">
          <w:rPr>
            <w:noProof/>
            <w:webHidden/>
          </w:rPr>
        </w:r>
        <w:r w:rsidR="008F4696">
          <w:rPr>
            <w:noProof/>
            <w:webHidden/>
          </w:rPr>
          <w:fldChar w:fldCharType="separate"/>
        </w:r>
        <w:r w:rsidR="008F4696">
          <w:rPr>
            <w:noProof/>
            <w:webHidden/>
          </w:rPr>
          <w:t>7</w:t>
        </w:r>
        <w:r w:rsidR="008F4696">
          <w:rPr>
            <w:noProof/>
            <w:webHidden/>
          </w:rPr>
          <w:fldChar w:fldCharType="end"/>
        </w:r>
      </w:hyperlink>
    </w:p>
    <w:p w14:paraId="333092D0" w14:textId="5F220108" w:rsidR="008F4696" w:rsidRDefault="00CE4039">
      <w:pPr>
        <w:pStyle w:val="TOC5"/>
        <w:rPr>
          <w:rFonts w:eastAsiaTheme="minorEastAsia"/>
          <w:noProof/>
          <w:color w:val="auto"/>
          <w:sz w:val="22"/>
          <w:lang w:val="en-US"/>
        </w:rPr>
      </w:pPr>
      <w:hyperlink w:anchor="_Toc48230302" w:history="1">
        <w:r w:rsidR="008F4696" w:rsidRPr="00BB6278">
          <w:rPr>
            <w:rStyle w:val="Hyperlink"/>
            <w:noProof/>
          </w:rPr>
          <w:t>2.1</w:t>
        </w:r>
        <w:r w:rsidR="008F4696">
          <w:rPr>
            <w:rFonts w:eastAsiaTheme="minorEastAsia"/>
            <w:noProof/>
            <w:color w:val="auto"/>
            <w:sz w:val="22"/>
            <w:lang w:val="en-US"/>
          </w:rPr>
          <w:tab/>
        </w:r>
        <w:r w:rsidR="008F4696" w:rsidRPr="00BB6278">
          <w:rPr>
            <w:rStyle w:val="Hyperlink"/>
            <w:noProof/>
          </w:rPr>
          <w:t>The site</w:t>
        </w:r>
        <w:r w:rsidR="008F4696">
          <w:rPr>
            <w:noProof/>
            <w:webHidden/>
          </w:rPr>
          <w:tab/>
        </w:r>
        <w:r w:rsidR="008F4696">
          <w:rPr>
            <w:noProof/>
            <w:webHidden/>
          </w:rPr>
          <w:fldChar w:fldCharType="begin"/>
        </w:r>
        <w:r w:rsidR="008F4696">
          <w:rPr>
            <w:noProof/>
            <w:webHidden/>
          </w:rPr>
          <w:instrText xml:space="preserve"> PAGEREF _Toc48230302 \h </w:instrText>
        </w:r>
        <w:r w:rsidR="008F4696">
          <w:rPr>
            <w:noProof/>
            <w:webHidden/>
          </w:rPr>
        </w:r>
        <w:r w:rsidR="008F4696">
          <w:rPr>
            <w:noProof/>
            <w:webHidden/>
          </w:rPr>
          <w:fldChar w:fldCharType="separate"/>
        </w:r>
        <w:r w:rsidR="008F4696">
          <w:rPr>
            <w:noProof/>
            <w:webHidden/>
          </w:rPr>
          <w:t>7</w:t>
        </w:r>
        <w:r w:rsidR="008F4696">
          <w:rPr>
            <w:noProof/>
            <w:webHidden/>
          </w:rPr>
          <w:fldChar w:fldCharType="end"/>
        </w:r>
      </w:hyperlink>
    </w:p>
    <w:p w14:paraId="697D0AD4" w14:textId="3751A2C1" w:rsidR="008F4696" w:rsidRDefault="00CE4039">
      <w:pPr>
        <w:pStyle w:val="TOC5"/>
        <w:rPr>
          <w:rFonts w:eastAsiaTheme="minorEastAsia"/>
          <w:noProof/>
          <w:color w:val="auto"/>
          <w:sz w:val="22"/>
          <w:lang w:val="en-US"/>
        </w:rPr>
      </w:pPr>
      <w:hyperlink w:anchor="_Toc48230303" w:history="1">
        <w:r w:rsidR="008F4696" w:rsidRPr="00BB6278">
          <w:rPr>
            <w:rStyle w:val="Hyperlink"/>
            <w:noProof/>
          </w:rPr>
          <w:t>2.2</w:t>
        </w:r>
        <w:r w:rsidR="008F4696">
          <w:rPr>
            <w:rFonts w:eastAsiaTheme="minorEastAsia"/>
            <w:noProof/>
            <w:color w:val="auto"/>
            <w:sz w:val="22"/>
            <w:lang w:val="en-US"/>
          </w:rPr>
          <w:tab/>
        </w:r>
        <w:r w:rsidR="008F4696" w:rsidRPr="00BB6278">
          <w:rPr>
            <w:rStyle w:val="Hyperlink"/>
            <w:noProof/>
          </w:rPr>
          <w:t>Description of existing development</w:t>
        </w:r>
        <w:r w:rsidR="008F4696">
          <w:rPr>
            <w:noProof/>
            <w:webHidden/>
          </w:rPr>
          <w:tab/>
        </w:r>
        <w:r w:rsidR="008F4696">
          <w:rPr>
            <w:noProof/>
            <w:webHidden/>
          </w:rPr>
          <w:fldChar w:fldCharType="begin"/>
        </w:r>
        <w:r w:rsidR="008F4696">
          <w:rPr>
            <w:noProof/>
            <w:webHidden/>
          </w:rPr>
          <w:instrText xml:space="preserve"> PAGEREF _Toc48230303 \h </w:instrText>
        </w:r>
        <w:r w:rsidR="008F4696">
          <w:rPr>
            <w:noProof/>
            <w:webHidden/>
          </w:rPr>
        </w:r>
        <w:r w:rsidR="008F4696">
          <w:rPr>
            <w:noProof/>
            <w:webHidden/>
          </w:rPr>
          <w:fldChar w:fldCharType="separate"/>
        </w:r>
        <w:r w:rsidR="008F4696">
          <w:rPr>
            <w:noProof/>
            <w:webHidden/>
          </w:rPr>
          <w:t>8</w:t>
        </w:r>
        <w:r w:rsidR="008F4696">
          <w:rPr>
            <w:noProof/>
            <w:webHidden/>
          </w:rPr>
          <w:fldChar w:fldCharType="end"/>
        </w:r>
      </w:hyperlink>
    </w:p>
    <w:p w14:paraId="7D155BFA" w14:textId="39E6AB33" w:rsidR="008F4696" w:rsidRDefault="00CE4039">
      <w:pPr>
        <w:pStyle w:val="TOC5"/>
        <w:rPr>
          <w:rFonts w:eastAsiaTheme="minorEastAsia"/>
          <w:noProof/>
          <w:color w:val="auto"/>
          <w:sz w:val="22"/>
          <w:lang w:val="en-US"/>
        </w:rPr>
      </w:pPr>
      <w:hyperlink w:anchor="_Toc48230304" w:history="1">
        <w:r w:rsidR="008F4696" w:rsidRPr="00BB6278">
          <w:rPr>
            <w:rStyle w:val="Hyperlink"/>
            <w:noProof/>
          </w:rPr>
          <w:t>2.3</w:t>
        </w:r>
        <w:r w:rsidR="008F4696">
          <w:rPr>
            <w:rFonts w:eastAsiaTheme="minorEastAsia"/>
            <w:noProof/>
            <w:color w:val="auto"/>
            <w:sz w:val="22"/>
            <w:lang w:val="en-US"/>
          </w:rPr>
          <w:tab/>
        </w:r>
        <w:r w:rsidR="008F4696" w:rsidRPr="00BB6278">
          <w:rPr>
            <w:rStyle w:val="Hyperlink"/>
            <w:noProof/>
          </w:rPr>
          <w:t>Surrounding development</w:t>
        </w:r>
        <w:r w:rsidR="008F4696">
          <w:rPr>
            <w:noProof/>
            <w:webHidden/>
          </w:rPr>
          <w:tab/>
        </w:r>
        <w:r w:rsidR="008F4696">
          <w:rPr>
            <w:noProof/>
            <w:webHidden/>
          </w:rPr>
          <w:fldChar w:fldCharType="begin"/>
        </w:r>
        <w:r w:rsidR="008F4696">
          <w:rPr>
            <w:noProof/>
            <w:webHidden/>
          </w:rPr>
          <w:instrText xml:space="preserve"> PAGEREF _Toc48230304 \h </w:instrText>
        </w:r>
        <w:r w:rsidR="008F4696">
          <w:rPr>
            <w:noProof/>
            <w:webHidden/>
          </w:rPr>
        </w:r>
        <w:r w:rsidR="008F4696">
          <w:rPr>
            <w:noProof/>
            <w:webHidden/>
          </w:rPr>
          <w:fldChar w:fldCharType="separate"/>
        </w:r>
        <w:r w:rsidR="008F4696">
          <w:rPr>
            <w:noProof/>
            <w:webHidden/>
          </w:rPr>
          <w:t>9</w:t>
        </w:r>
        <w:r w:rsidR="008F4696">
          <w:rPr>
            <w:noProof/>
            <w:webHidden/>
          </w:rPr>
          <w:fldChar w:fldCharType="end"/>
        </w:r>
      </w:hyperlink>
    </w:p>
    <w:p w14:paraId="3776746A" w14:textId="6625D3C4" w:rsidR="008F4696" w:rsidRDefault="00CE4039">
      <w:pPr>
        <w:pStyle w:val="TOC4"/>
        <w:rPr>
          <w:rFonts w:eastAsiaTheme="minorEastAsia"/>
          <w:b w:val="0"/>
          <w:caps w:val="0"/>
          <w:noProof/>
          <w:color w:val="auto"/>
          <w:sz w:val="22"/>
          <w:lang w:val="en-US" w:eastAsia="en-US"/>
        </w:rPr>
      </w:pPr>
      <w:hyperlink w:anchor="_Toc48230305" w:history="1">
        <w:r w:rsidR="008F4696" w:rsidRPr="00BB6278">
          <w:rPr>
            <w:rStyle w:val="Hyperlink"/>
            <w:noProof/>
          </w:rPr>
          <w:t>3</w:t>
        </w:r>
        <w:r w:rsidR="008F4696">
          <w:rPr>
            <w:rFonts w:eastAsiaTheme="minorEastAsia"/>
            <w:b w:val="0"/>
            <w:caps w:val="0"/>
            <w:noProof/>
            <w:color w:val="auto"/>
            <w:sz w:val="22"/>
            <w:lang w:val="en-US" w:eastAsia="en-US"/>
          </w:rPr>
          <w:tab/>
        </w:r>
        <w:r w:rsidR="008F4696" w:rsidRPr="00BB6278">
          <w:rPr>
            <w:rStyle w:val="Hyperlink"/>
            <w:noProof/>
          </w:rPr>
          <w:t>Proposed development</w:t>
        </w:r>
        <w:r w:rsidR="008F4696">
          <w:rPr>
            <w:noProof/>
            <w:webHidden/>
          </w:rPr>
          <w:tab/>
        </w:r>
        <w:r w:rsidR="008F4696">
          <w:rPr>
            <w:noProof/>
            <w:webHidden/>
          </w:rPr>
          <w:fldChar w:fldCharType="begin"/>
        </w:r>
        <w:r w:rsidR="008F4696">
          <w:rPr>
            <w:noProof/>
            <w:webHidden/>
          </w:rPr>
          <w:instrText xml:space="preserve"> PAGEREF _Toc48230305 \h </w:instrText>
        </w:r>
        <w:r w:rsidR="008F4696">
          <w:rPr>
            <w:noProof/>
            <w:webHidden/>
          </w:rPr>
        </w:r>
        <w:r w:rsidR="008F4696">
          <w:rPr>
            <w:noProof/>
            <w:webHidden/>
          </w:rPr>
          <w:fldChar w:fldCharType="separate"/>
        </w:r>
        <w:r w:rsidR="008F4696">
          <w:rPr>
            <w:noProof/>
            <w:webHidden/>
          </w:rPr>
          <w:t>10</w:t>
        </w:r>
        <w:r w:rsidR="008F4696">
          <w:rPr>
            <w:noProof/>
            <w:webHidden/>
          </w:rPr>
          <w:fldChar w:fldCharType="end"/>
        </w:r>
      </w:hyperlink>
    </w:p>
    <w:p w14:paraId="565CE43E" w14:textId="20C870E6" w:rsidR="008F4696" w:rsidRDefault="00CE4039">
      <w:pPr>
        <w:pStyle w:val="TOC5"/>
        <w:rPr>
          <w:rFonts w:eastAsiaTheme="minorEastAsia"/>
          <w:noProof/>
          <w:color w:val="auto"/>
          <w:sz w:val="22"/>
          <w:lang w:val="en-US"/>
        </w:rPr>
      </w:pPr>
      <w:hyperlink w:anchor="_Toc48230306" w:history="1">
        <w:r w:rsidR="008F4696" w:rsidRPr="00BB6278">
          <w:rPr>
            <w:rStyle w:val="Hyperlink"/>
            <w:noProof/>
          </w:rPr>
          <w:t>3.1</w:t>
        </w:r>
        <w:r w:rsidR="008F4696">
          <w:rPr>
            <w:rFonts w:eastAsiaTheme="minorEastAsia"/>
            <w:noProof/>
            <w:color w:val="auto"/>
            <w:sz w:val="22"/>
            <w:lang w:val="en-US"/>
          </w:rPr>
          <w:tab/>
        </w:r>
        <w:r w:rsidR="008F4696" w:rsidRPr="00BB6278">
          <w:rPr>
            <w:rStyle w:val="Hyperlink"/>
            <w:noProof/>
          </w:rPr>
          <w:t>Landscaping and Public Domain Improvements</w:t>
        </w:r>
        <w:r w:rsidR="008F4696">
          <w:rPr>
            <w:noProof/>
            <w:webHidden/>
          </w:rPr>
          <w:tab/>
        </w:r>
        <w:r w:rsidR="008F4696">
          <w:rPr>
            <w:noProof/>
            <w:webHidden/>
          </w:rPr>
          <w:fldChar w:fldCharType="begin"/>
        </w:r>
        <w:r w:rsidR="008F4696">
          <w:rPr>
            <w:noProof/>
            <w:webHidden/>
          </w:rPr>
          <w:instrText xml:space="preserve"> PAGEREF _Toc48230306 \h </w:instrText>
        </w:r>
        <w:r w:rsidR="008F4696">
          <w:rPr>
            <w:noProof/>
            <w:webHidden/>
          </w:rPr>
        </w:r>
        <w:r w:rsidR="008F4696">
          <w:rPr>
            <w:noProof/>
            <w:webHidden/>
          </w:rPr>
          <w:fldChar w:fldCharType="separate"/>
        </w:r>
        <w:r w:rsidR="008F4696">
          <w:rPr>
            <w:noProof/>
            <w:webHidden/>
          </w:rPr>
          <w:t>10</w:t>
        </w:r>
        <w:r w:rsidR="008F4696">
          <w:rPr>
            <w:noProof/>
            <w:webHidden/>
          </w:rPr>
          <w:fldChar w:fldCharType="end"/>
        </w:r>
      </w:hyperlink>
    </w:p>
    <w:p w14:paraId="44AD0147" w14:textId="2898CE62" w:rsidR="008F4696" w:rsidRDefault="00CE4039">
      <w:pPr>
        <w:pStyle w:val="TOC5"/>
        <w:rPr>
          <w:rFonts w:eastAsiaTheme="minorEastAsia"/>
          <w:noProof/>
          <w:color w:val="auto"/>
          <w:sz w:val="22"/>
          <w:lang w:val="en-US"/>
        </w:rPr>
      </w:pPr>
      <w:hyperlink w:anchor="_Toc48230307" w:history="1">
        <w:r w:rsidR="008F4696" w:rsidRPr="00BB6278">
          <w:rPr>
            <w:rStyle w:val="Hyperlink"/>
            <w:noProof/>
          </w:rPr>
          <w:t>3.2</w:t>
        </w:r>
        <w:r w:rsidR="008F4696">
          <w:rPr>
            <w:rFonts w:eastAsiaTheme="minorEastAsia"/>
            <w:noProof/>
            <w:color w:val="auto"/>
            <w:sz w:val="22"/>
            <w:lang w:val="en-US"/>
          </w:rPr>
          <w:tab/>
        </w:r>
        <w:r w:rsidR="008F4696" w:rsidRPr="00BB6278">
          <w:rPr>
            <w:rStyle w:val="Hyperlink"/>
            <w:noProof/>
          </w:rPr>
          <w:t>Vehicular Parking, Access, and Loading</w:t>
        </w:r>
        <w:r w:rsidR="008F4696">
          <w:rPr>
            <w:noProof/>
            <w:webHidden/>
          </w:rPr>
          <w:tab/>
        </w:r>
        <w:r w:rsidR="008F4696">
          <w:rPr>
            <w:noProof/>
            <w:webHidden/>
          </w:rPr>
          <w:fldChar w:fldCharType="begin"/>
        </w:r>
        <w:r w:rsidR="008F4696">
          <w:rPr>
            <w:noProof/>
            <w:webHidden/>
          </w:rPr>
          <w:instrText xml:space="preserve"> PAGEREF _Toc48230307 \h </w:instrText>
        </w:r>
        <w:r w:rsidR="008F4696">
          <w:rPr>
            <w:noProof/>
            <w:webHidden/>
          </w:rPr>
        </w:r>
        <w:r w:rsidR="008F4696">
          <w:rPr>
            <w:noProof/>
            <w:webHidden/>
          </w:rPr>
          <w:fldChar w:fldCharType="separate"/>
        </w:r>
        <w:r w:rsidR="008F4696">
          <w:rPr>
            <w:noProof/>
            <w:webHidden/>
          </w:rPr>
          <w:t>11</w:t>
        </w:r>
        <w:r w:rsidR="008F4696">
          <w:rPr>
            <w:noProof/>
            <w:webHidden/>
          </w:rPr>
          <w:fldChar w:fldCharType="end"/>
        </w:r>
      </w:hyperlink>
    </w:p>
    <w:p w14:paraId="3C16EA11" w14:textId="2FA6CFE1" w:rsidR="008F4696" w:rsidRDefault="00CE4039">
      <w:pPr>
        <w:pStyle w:val="TOC6"/>
        <w:rPr>
          <w:rFonts w:eastAsiaTheme="minorEastAsia"/>
          <w:color w:val="auto"/>
          <w:sz w:val="22"/>
          <w:lang w:val="en-US"/>
        </w:rPr>
      </w:pPr>
      <w:hyperlink w:anchor="_Toc48230308" w:history="1">
        <w:r w:rsidR="008F4696" w:rsidRPr="00BB6278">
          <w:rPr>
            <w:rStyle w:val="Hyperlink"/>
          </w:rPr>
          <w:t>3.2.1</w:t>
        </w:r>
        <w:r w:rsidR="008F4696">
          <w:rPr>
            <w:rFonts w:eastAsiaTheme="minorEastAsia"/>
            <w:color w:val="auto"/>
            <w:sz w:val="22"/>
            <w:lang w:val="en-US"/>
          </w:rPr>
          <w:tab/>
        </w:r>
        <w:r w:rsidR="008F4696" w:rsidRPr="00BB6278">
          <w:rPr>
            <w:rStyle w:val="Hyperlink"/>
          </w:rPr>
          <w:t>Parking</w:t>
        </w:r>
        <w:r w:rsidR="008F4696">
          <w:rPr>
            <w:webHidden/>
          </w:rPr>
          <w:tab/>
        </w:r>
        <w:r w:rsidR="008F4696">
          <w:rPr>
            <w:webHidden/>
          </w:rPr>
          <w:fldChar w:fldCharType="begin"/>
        </w:r>
        <w:r w:rsidR="008F4696">
          <w:rPr>
            <w:webHidden/>
          </w:rPr>
          <w:instrText xml:space="preserve"> PAGEREF _Toc48230308 \h </w:instrText>
        </w:r>
        <w:r w:rsidR="008F4696">
          <w:rPr>
            <w:webHidden/>
          </w:rPr>
        </w:r>
        <w:r w:rsidR="008F4696">
          <w:rPr>
            <w:webHidden/>
          </w:rPr>
          <w:fldChar w:fldCharType="separate"/>
        </w:r>
        <w:r w:rsidR="008F4696">
          <w:rPr>
            <w:webHidden/>
          </w:rPr>
          <w:t>11</w:t>
        </w:r>
        <w:r w:rsidR="008F4696">
          <w:rPr>
            <w:webHidden/>
          </w:rPr>
          <w:fldChar w:fldCharType="end"/>
        </w:r>
      </w:hyperlink>
    </w:p>
    <w:p w14:paraId="561E6FE2" w14:textId="551E56CA" w:rsidR="008F4696" w:rsidRDefault="00CE4039">
      <w:pPr>
        <w:pStyle w:val="TOC6"/>
        <w:rPr>
          <w:rFonts w:eastAsiaTheme="minorEastAsia"/>
          <w:color w:val="auto"/>
          <w:sz w:val="22"/>
          <w:lang w:val="en-US"/>
        </w:rPr>
      </w:pPr>
      <w:hyperlink w:anchor="_Toc48230309" w:history="1">
        <w:r w:rsidR="008F4696" w:rsidRPr="00BB6278">
          <w:rPr>
            <w:rStyle w:val="Hyperlink"/>
          </w:rPr>
          <w:t>3.2.2</w:t>
        </w:r>
        <w:r w:rsidR="008F4696">
          <w:rPr>
            <w:rFonts w:eastAsiaTheme="minorEastAsia"/>
            <w:color w:val="auto"/>
            <w:sz w:val="22"/>
            <w:lang w:val="en-US"/>
          </w:rPr>
          <w:tab/>
        </w:r>
        <w:r w:rsidR="008F4696" w:rsidRPr="00BB6278">
          <w:rPr>
            <w:rStyle w:val="Hyperlink"/>
          </w:rPr>
          <w:t>Access</w:t>
        </w:r>
        <w:r w:rsidR="008F4696">
          <w:rPr>
            <w:webHidden/>
          </w:rPr>
          <w:tab/>
        </w:r>
        <w:r w:rsidR="008F4696">
          <w:rPr>
            <w:webHidden/>
          </w:rPr>
          <w:fldChar w:fldCharType="begin"/>
        </w:r>
        <w:r w:rsidR="008F4696">
          <w:rPr>
            <w:webHidden/>
          </w:rPr>
          <w:instrText xml:space="preserve"> PAGEREF _Toc48230309 \h </w:instrText>
        </w:r>
        <w:r w:rsidR="008F4696">
          <w:rPr>
            <w:webHidden/>
          </w:rPr>
        </w:r>
        <w:r w:rsidR="008F4696">
          <w:rPr>
            <w:webHidden/>
          </w:rPr>
          <w:fldChar w:fldCharType="separate"/>
        </w:r>
        <w:r w:rsidR="008F4696">
          <w:rPr>
            <w:webHidden/>
          </w:rPr>
          <w:t>11</w:t>
        </w:r>
        <w:r w:rsidR="008F4696">
          <w:rPr>
            <w:webHidden/>
          </w:rPr>
          <w:fldChar w:fldCharType="end"/>
        </w:r>
      </w:hyperlink>
    </w:p>
    <w:p w14:paraId="68B7058B" w14:textId="422B8172" w:rsidR="008F4696" w:rsidRDefault="00CE4039">
      <w:pPr>
        <w:pStyle w:val="TOC5"/>
        <w:rPr>
          <w:rFonts w:eastAsiaTheme="minorEastAsia"/>
          <w:noProof/>
          <w:color w:val="auto"/>
          <w:sz w:val="22"/>
          <w:lang w:val="en-US"/>
        </w:rPr>
      </w:pPr>
      <w:hyperlink w:anchor="_Toc48230310" w:history="1">
        <w:r w:rsidR="008F4696" w:rsidRPr="00BB6278">
          <w:rPr>
            <w:rStyle w:val="Hyperlink"/>
            <w:noProof/>
          </w:rPr>
          <w:t>3.3</w:t>
        </w:r>
        <w:r w:rsidR="008F4696">
          <w:rPr>
            <w:rFonts w:eastAsiaTheme="minorEastAsia"/>
            <w:noProof/>
            <w:color w:val="auto"/>
            <w:sz w:val="22"/>
            <w:lang w:val="en-US"/>
          </w:rPr>
          <w:tab/>
        </w:r>
        <w:r w:rsidR="008F4696" w:rsidRPr="00BB6278">
          <w:rPr>
            <w:rStyle w:val="Hyperlink"/>
            <w:noProof/>
          </w:rPr>
          <w:t>Internal Referrals</w:t>
        </w:r>
        <w:r w:rsidR="008F4696">
          <w:rPr>
            <w:noProof/>
            <w:webHidden/>
          </w:rPr>
          <w:tab/>
        </w:r>
        <w:r w:rsidR="008F4696">
          <w:rPr>
            <w:noProof/>
            <w:webHidden/>
          </w:rPr>
          <w:fldChar w:fldCharType="begin"/>
        </w:r>
        <w:r w:rsidR="008F4696">
          <w:rPr>
            <w:noProof/>
            <w:webHidden/>
          </w:rPr>
          <w:instrText xml:space="preserve"> PAGEREF _Toc48230310 \h </w:instrText>
        </w:r>
        <w:r w:rsidR="008F4696">
          <w:rPr>
            <w:noProof/>
            <w:webHidden/>
          </w:rPr>
        </w:r>
        <w:r w:rsidR="008F4696">
          <w:rPr>
            <w:noProof/>
            <w:webHidden/>
          </w:rPr>
          <w:fldChar w:fldCharType="separate"/>
        </w:r>
        <w:r w:rsidR="008F4696">
          <w:rPr>
            <w:noProof/>
            <w:webHidden/>
          </w:rPr>
          <w:t>11</w:t>
        </w:r>
        <w:r w:rsidR="008F4696">
          <w:rPr>
            <w:noProof/>
            <w:webHidden/>
          </w:rPr>
          <w:fldChar w:fldCharType="end"/>
        </w:r>
      </w:hyperlink>
    </w:p>
    <w:p w14:paraId="505C9A89" w14:textId="4358841D" w:rsidR="008F4696" w:rsidRDefault="00CE4039">
      <w:pPr>
        <w:pStyle w:val="TOC5"/>
        <w:rPr>
          <w:rFonts w:eastAsiaTheme="minorEastAsia"/>
          <w:noProof/>
          <w:color w:val="auto"/>
          <w:sz w:val="22"/>
          <w:lang w:val="en-US"/>
        </w:rPr>
      </w:pPr>
      <w:hyperlink w:anchor="_Toc48230311" w:history="1">
        <w:r w:rsidR="008F4696" w:rsidRPr="00BB6278">
          <w:rPr>
            <w:rStyle w:val="Hyperlink"/>
            <w:noProof/>
          </w:rPr>
          <w:t>3.4</w:t>
        </w:r>
        <w:r w:rsidR="008F4696">
          <w:rPr>
            <w:rFonts w:eastAsiaTheme="minorEastAsia"/>
            <w:noProof/>
            <w:color w:val="auto"/>
            <w:sz w:val="22"/>
            <w:lang w:val="en-US"/>
          </w:rPr>
          <w:tab/>
        </w:r>
        <w:r w:rsidR="008F4696" w:rsidRPr="00BB6278">
          <w:rPr>
            <w:rStyle w:val="Hyperlink"/>
            <w:noProof/>
          </w:rPr>
          <w:t>External referrals</w:t>
        </w:r>
        <w:r w:rsidR="008F4696">
          <w:rPr>
            <w:noProof/>
            <w:webHidden/>
          </w:rPr>
          <w:tab/>
        </w:r>
        <w:r w:rsidR="008F4696">
          <w:rPr>
            <w:noProof/>
            <w:webHidden/>
          </w:rPr>
          <w:fldChar w:fldCharType="begin"/>
        </w:r>
        <w:r w:rsidR="008F4696">
          <w:rPr>
            <w:noProof/>
            <w:webHidden/>
          </w:rPr>
          <w:instrText xml:space="preserve"> PAGEREF _Toc48230311 \h </w:instrText>
        </w:r>
        <w:r w:rsidR="008F4696">
          <w:rPr>
            <w:noProof/>
            <w:webHidden/>
          </w:rPr>
        </w:r>
        <w:r w:rsidR="008F4696">
          <w:rPr>
            <w:noProof/>
            <w:webHidden/>
          </w:rPr>
          <w:fldChar w:fldCharType="separate"/>
        </w:r>
        <w:r w:rsidR="008F4696">
          <w:rPr>
            <w:noProof/>
            <w:webHidden/>
          </w:rPr>
          <w:t>15</w:t>
        </w:r>
        <w:r w:rsidR="008F4696">
          <w:rPr>
            <w:noProof/>
            <w:webHidden/>
          </w:rPr>
          <w:fldChar w:fldCharType="end"/>
        </w:r>
      </w:hyperlink>
    </w:p>
    <w:p w14:paraId="0BA148F9" w14:textId="149F7F68" w:rsidR="008F4696" w:rsidRDefault="00CE4039">
      <w:pPr>
        <w:pStyle w:val="TOC4"/>
        <w:rPr>
          <w:rFonts w:eastAsiaTheme="minorEastAsia"/>
          <w:b w:val="0"/>
          <w:caps w:val="0"/>
          <w:noProof/>
          <w:color w:val="auto"/>
          <w:sz w:val="22"/>
          <w:lang w:val="en-US" w:eastAsia="en-US"/>
        </w:rPr>
      </w:pPr>
      <w:hyperlink w:anchor="_Toc48230312" w:history="1">
        <w:r w:rsidR="008F4696" w:rsidRPr="00BB6278">
          <w:rPr>
            <w:rStyle w:val="Hyperlink"/>
            <w:noProof/>
          </w:rPr>
          <w:t>4</w:t>
        </w:r>
        <w:r w:rsidR="008F4696">
          <w:rPr>
            <w:rFonts w:eastAsiaTheme="minorEastAsia"/>
            <w:b w:val="0"/>
            <w:caps w:val="0"/>
            <w:noProof/>
            <w:color w:val="auto"/>
            <w:sz w:val="22"/>
            <w:lang w:val="en-US" w:eastAsia="en-US"/>
          </w:rPr>
          <w:tab/>
        </w:r>
        <w:r w:rsidR="008F4696" w:rsidRPr="00BB6278">
          <w:rPr>
            <w:rStyle w:val="Hyperlink"/>
            <w:noProof/>
          </w:rPr>
          <w:t>Assessment</w:t>
        </w:r>
        <w:r w:rsidR="008F4696">
          <w:rPr>
            <w:noProof/>
            <w:webHidden/>
          </w:rPr>
          <w:tab/>
        </w:r>
        <w:r w:rsidR="008F4696">
          <w:rPr>
            <w:noProof/>
            <w:webHidden/>
          </w:rPr>
          <w:fldChar w:fldCharType="begin"/>
        </w:r>
        <w:r w:rsidR="008F4696">
          <w:rPr>
            <w:noProof/>
            <w:webHidden/>
          </w:rPr>
          <w:instrText xml:space="preserve"> PAGEREF _Toc48230312 \h </w:instrText>
        </w:r>
        <w:r w:rsidR="008F4696">
          <w:rPr>
            <w:noProof/>
            <w:webHidden/>
          </w:rPr>
        </w:r>
        <w:r w:rsidR="008F4696">
          <w:rPr>
            <w:noProof/>
            <w:webHidden/>
          </w:rPr>
          <w:fldChar w:fldCharType="separate"/>
        </w:r>
        <w:r w:rsidR="008F4696">
          <w:rPr>
            <w:noProof/>
            <w:webHidden/>
          </w:rPr>
          <w:t>16</w:t>
        </w:r>
        <w:r w:rsidR="008F4696">
          <w:rPr>
            <w:noProof/>
            <w:webHidden/>
          </w:rPr>
          <w:fldChar w:fldCharType="end"/>
        </w:r>
      </w:hyperlink>
    </w:p>
    <w:p w14:paraId="45792BB5" w14:textId="2CA311F6" w:rsidR="008F4696" w:rsidRDefault="00CE4039">
      <w:pPr>
        <w:pStyle w:val="TOC5"/>
        <w:rPr>
          <w:rFonts w:eastAsiaTheme="minorEastAsia"/>
          <w:noProof/>
          <w:color w:val="auto"/>
          <w:sz w:val="22"/>
          <w:lang w:val="en-US"/>
        </w:rPr>
      </w:pPr>
      <w:hyperlink w:anchor="_Toc48230313" w:history="1">
        <w:r w:rsidR="008F4696" w:rsidRPr="00BB6278">
          <w:rPr>
            <w:rStyle w:val="Hyperlink"/>
            <w:noProof/>
          </w:rPr>
          <w:t>4.1</w:t>
        </w:r>
        <w:r w:rsidR="008F4696">
          <w:rPr>
            <w:rFonts w:eastAsiaTheme="minorEastAsia"/>
            <w:noProof/>
            <w:color w:val="auto"/>
            <w:sz w:val="22"/>
            <w:lang w:val="en-US"/>
          </w:rPr>
          <w:tab/>
        </w:r>
        <w:r w:rsidR="008F4696" w:rsidRPr="00BB6278">
          <w:rPr>
            <w:rStyle w:val="Hyperlink"/>
            <w:noProof/>
          </w:rPr>
          <w:t>Environmental Planning Instruments</w:t>
        </w:r>
        <w:r w:rsidR="008F4696">
          <w:rPr>
            <w:noProof/>
            <w:webHidden/>
          </w:rPr>
          <w:tab/>
        </w:r>
        <w:r w:rsidR="008F4696">
          <w:rPr>
            <w:noProof/>
            <w:webHidden/>
          </w:rPr>
          <w:fldChar w:fldCharType="begin"/>
        </w:r>
        <w:r w:rsidR="008F4696">
          <w:rPr>
            <w:noProof/>
            <w:webHidden/>
          </w:rPr>
          <w:instrText xml:space="preserve"> PAGEREF _Toc48230313 \h </w:instrText>
        </w:r>
        <w:r w:rsidR="008F4696">
          <w:rPr>
            <w:noProof/>
            <w:webHidden/>
          </w:rPr>
        </w:r>
        <w:r w:rsidR="008F4696">
          <w:rPr>
            <w:noProof/>
            <w:webHidden/>
          </w:rPr>
          <w:fldChar w:fldCharType="separate"/>
        </w:r>
        <w:r w:rsidR="008F4696">
          <w:rPr>
            <w:noProof/>
            <w:webHidden/>
          </w:rPr>
          <w:t>16</w:t>
        </w:r>
        <w:r w:rsidR="008F4696">
          <w:rPr>
            <w:noProof/>
            <w:webHidden/>
          </w:rPr>
          <w:fldChar w:fldCharType="end"/>
        </w:r>
      </w:hyperlink>
    </w:p>
    <w:p w14:paraId="548EA1E2" w14:textId="0FE75A6A" w:rsidR="008F4696" w:rsidRDefault="00CE4039">
      <w:pPr>
        <w:pStyle w:val="TOC6"/>
        <w:rPr>
          <w:rFonts w:eastAsiaTheme="minorEastAsia"/>
          <w:color w:val="auto"/>
          <w:sz w:val="22"/>
          <w:lang w:val="en-US"/>
        </w:rPr>
      </w:pPr>
      <w:hyperlink w:anchor="_Toc48230314" w:history="1">
        <w:r w:rsidR="008F4696" w:rsidRPr="00BB6278">
          <w:rPr>
            <w:rStyle w:val="Hyperlink"/>
          </w:rPr>
          <w:t>4.1.1</w:t>
        </w:r>
        <w:r w:rsidR="008F4696">
          <w:rPr>
            <w:rFonts w:eastAsiaTheme="minorEastAsia"/>
            <w:color w:val="auto"/>
            <w:sz w:val="22"/>
            <w:lang w:val="en-US"/>
          </w:rPr>
          <w:tab/>
        </w:r>
        <w:r w:rsidR="008F4696" w:rsidRPr="00BB6278">
          <w:rPr>
            <w:rStyle w:val="Hyperlink"/>
          </w:rPr>
          <w:t>State Environmental Planning Policies</w:t>
        </w:r>
        <w:r w:rsidR="008F4696">
          <w:rPr>
            <w:webHidden/>
          </w:rPr>
          <w:tab/>
        </w:r>
        <w:r w:rsidR="008F4696">
          <w:rPr>
            <w:webHidden/>
          </w:rPr>
          <w:fldChar w:fldCharType="begin"/>
        </w:r>
        <w:r w:rsidR="008F4696">
          <w:rPr>
            <w:webHidden/>
          </w:rPr>
          <w:instrText xml:space="preserve"> PAGEREF _Toc48230314 \h </w:instrText>
        </w:r>
        <w:r w:rsidR="008F4696">
          <w:rPr>
            <w:webHidden/>
          </w:rPr>
        </w:r>
        <w:r w:rsidR="008F4696">
          <w:rPr>
            <w:webHidden/>
          </w:rPr>
          <w:fldChar w:fldCharType="separate"/>
        </w:r>
        <w:r w:rsidR="008F4696">
          <w:rPr>
            <w:webHidden/>
          </w:rPr>
          <w:t>16</w:t>
        </w:r>
        <w:r w:rsidR="008F4696">
          <w:rPr>
            <w:webHidden/>
          </w:rPr>
          <w:fldChar w:fldCharType="end"/>
        </w:r>
      </w:hyperlink>
    </w:p>
    <w:p w14:paraId="7EE540DA" w14:textId="51B6E55B" w:rsidR="008F4696" w:rsidRDefault="00CE4039">
      <w:pPr>
        <w:pStyle w:val="TOC6"/>
        <w:rPr>
          <w:rFonts w:eastAsiaTheme="minorEastAsia"/>
          <w:color w:val="auto"/>
          <w:sz w:val="22"/>
          <w:lang w:val="en-US"/>
        </w:rPr>
      </w:pPr>
      <w:hyperlink w:anchor="_Toc48230315" w:history="1">
        <w:r w:rsidR="008F4696" w:rsidRPr="00BB6278">
          <w:rPr>
            <w:rStyle w:val="Hyperlink"/>
          </w:rPr>
          <w:t>4.1.2</w:t>
        </w:r>
        <w:r w:rsidR="008F4696">
          <w:rPr>
            <w:rFonts w:eastAsiaTheme="minorEastAsia"/>
            <w:color w:val="auto"/>
            <w:sz w:val="22"/>
            <w:lang w:val="en-US"/>
          </w:rPr>
          <w:tab/>
        </w:r>
        <w:r w:rsidR="008F4696" w:rsidRPr="00BB6278">
          <w:rPr>
            <w:rStyle w:val="Hyperlink"/>
          </w:rPr>
          <w:t>Queanbeyan Local Environmental Plan 2012</w:t>
        </w:r>
        <w:r w:rsidR="008F4696">
          <w:rPr>
            <w:webHidden/>
          </w:rPr>
          <w:tab/>
        </w:r>
        <w:r w:rsidR="008F4696">
          <w:rPr>
            <w:webHidden/>
          </w:rPr>
          <w:fldChar w:fldCharType="begin"/>
        </w:r>
        <w:r w:rsidR="008F4696">
          <w:rPr>
            <w:webHidden/>
          </w:rPr>
          <w:instrText xml:space="preserve"> PAGEREF _Toc48230315 \h </w:instrText>
        </w:r>
        <w:r w:rsidR="008F4696">
          <w:rPr>
            <w:webHidden/>
          </w:rPr>
        </w:r>
        <w:r w:rsidR="008F4696">
          <w:rPr>
            <w:webHidden/>
          </w:rPr>
          <w:fldChar w:fldCharType="separate"/>
        </w:r>
        <w:r w:rsidR="008F4696">
          <w:rPr>
            <w:webHidden/>
          </w:rPr>
          <w:t>19</w:t>
        </w:r>
        <w:r w:rsidR="008F4696">
          <w:rPr>
            <w:webHidden/>
          </w:rPr>
          <w:fldChar w:fldCharType="end"/>
        </w:r>
      </w:hyperlink>
    </w:p>
    <w:p w14:paraId="3BF5DEA9" w14:textId="7DED8627" w:rsidR="008F4696" w:rsidRDefault="00CE4039">
      <w:pPr>
        <w:pStyle w:val="TOC5"/>
        <w:rPr>
          <w:rFonts w:eastAsiaTheme="minorEastAsia"/>
          <w:noProof/>
          <w:color w:val="auto"/>
          <w:sz w:val="22"/>
          <w:lang w:val="en-US"/>
        </w:rPr>
      </w:pPr>
      <w:hyperlink w:anchor="_Toc48230316" w:history="1">
        <w:r w:rsidR="008F4696" w:rsidRPr="00BB6278">
          <w:rPr>
            <w:rStyle w:val="Hyperlink"/>
            <w:noProof/>
          </w:rPr>
          <w:t>4.2</w:t>
        </w:r>
        <w:r w:rsidR="008F4696">
          <w:rPr>
            <w:rFonts w:eastAsiaTheme="minorEastAsia"/>
            <w:noProof/>
            <w:color w:val="auto"/>
            <w:sz w:val="22"/>
            <w:lang w:val="en-US"/>
          </w:rPr>
          <w:tab/>
        </w:r>
        <w:r w:rsidR="008F4696" w:rsidRPr="00BB6278">
          <w:rPr>
            <w:rStyle w:val="Hyperlink"/>
            <w:noProof/>
          </w:rPr>
          <w:t>Development Control Plans</w:t>
        </w:r>
        <w:r w:rsidR="008F4696">
          <w:rPr>
            <w:noProof/>
            <w:webHidden/>
          </w:rPr>
          <w:tab/>
        </w:r>
        <w:r w:rsidR="008F4696">
          <w:rPr>
            <w:noProof/>
            <w:webHidden/>
          </w:rPr>
          <w:fldChar w:fldCharType="begin"/>
        </w:r>
        <w:r w:rsidR="008F4696">
          <w:rPr>
            <w:noProof/>
            <w:webHidden/>
          </w:rPr>
          <w:instrText xml:space="preserve"> PAGEREF _Toc48230316 \h </w:instrText>
        </w:r>
        <w:r w:rsidR="008F4696">
          <w:rPr>
            <w:noProof/>
            <w:webHidden/>
          </w:rPr>
        </w:r>
        <w:r w:rsidR="008F4696">
          <w:rPr>
            <w:noProof/>
            <w:webHidden/>
          </w:rPr>
          <w:fldChar w:fldCharType="separate"/>
        </w:r>
        <w:r w:rsidR="008F4696">
          <w:rPr>
            <w:noProof/>
            <w:webHidden/>
          </w:rPr>
          <w:t>26</w:t>
        </w:r>
        <w:r w:rsidR="008F4696">
          <w:rPr>
            <w:noProof/>
            <w:webHidden/>
          </w:rPr>
          <w:fldChar w:fldCharType="end"/>
        </w:r>
      </w:hyperlink>
    </w:p>
    <w:p w14:paraId="626BCFC9" w14:textId="4B7621D8" w:rsidR="008F4696" w:rsidRDefault="00CE4039">
      <w:pPr>
        <w:pStyle w:val="TOC5"/>
        <w:rPr>
          <w:rFonts w:eastAsiaTheme="minorEastAsia"/>
          <w:noProof/>
          <w:color w:val="auto"/>
          <w:sz w:val="22"/>
          <w:lang w:val="en-US"/>
        </w:rPr>
      </w:pPr>
      <w:hyperlink w:anchor="_Toc48230317" w:history="1">
        <w:r w:rsidR="008F4696" w:rsidRPr="00BB6278">
          <w:rPr>
            <w:rStyle w:val="Hyperlink"/>
            <w:noProof/>
          </w:rPr>
          <w:t>4.3</w:t>
        </w:r>
        <w:r w:rsidR="008F4696">
          <w:rPr>
            <w:rFonts w:eastAsiaTheme="minorEastAsia"/>
            <w:noProof/>
            <w:color w:val="auto"/>
            <w:sz w:val="22"/>
            <w:lang w:val="en-US"/>
          </w:rPr>
          <w:tab/>
        </w:r>
        <w:r w:rsidR="008F4696" w:rsidRPr="00BB6278">
          <w:rPr>
            <w:rStyle w:val="Hyperlink"/>
            <w:noProof/>
          </w:rPr>
          <w:t>Planning Agreements</w:t>
        </w:r>
        <w:r w:rsidR="008F4696">
          <w:rPr>
            <w:noProof/>
            <w:webHidden/>
          </w:rPr>
          <w:tab/>
        </w:r>
        <w:r w:rsidR="008F4696">
          <w:rPr>
            <w:noProof/>
            <w:webHidden/>
          </w:rPr>
          <w:fldChar w:fldCharType="begin"/>
        </w:r>
        <w:r w:rsidR="008F4696">
          <w:rPr>
            <w:noProof/>
            <w:webHidden/>
          </w:rPr>
          <w:instrText xml:space="preserve"> PAGEREF _Toc48230317 \h </w:instrText>
        </w:r>
        <w:r w:rsidR="008F4696">
          <w:rPr>
            <w:noProof/>
            <w:webHidden/>
          </w:rPr>
        </w:r>
        <w:r w:rsidR="008F4696">
          <w:rPr>
            <w:noProof/>
            <w:webHidden/>
          </w:rPr>
          <w:fldChar w:fldCharType="separate"/>
        </w:r>
        <w:r w:rsidR="008F4696">
          <w:rPr>
            <w:noProof/>
            <w:webHidden/>
          </w:rPr>
          <w:t>32</w:t>
        </w:r>
        <w:r w:rsidR="008F4696">
          <w:rPr>
            <w:noProof/>
            <w:webHidden/>
          </w:rPr>
          <w:fldChar w:fldCharType="end"/>
        </w:r>
      </w:hyperlink>
    </w:p>
    <w:p w14:paraId="5D0F3C6B" w14:textId="77EA8502" w:rsidR="008F4696" w:rsidRDefault="00CE4039">
      <w:pPr>
        <w:pStyle w:val="TOC5"/>
        <w:rPr>
          <w:rFonts w:eastAsiaTheme="minorEastAsia"/>
          <w:noProof/>
          <w:color w:val="auto"/>
          <w:sz w:val="22"/>
          <w:lang w:val="en-US"/>
        </w:rPr>
      </w:pPr>
      <w:hyperlink w:anchor="_Toc48230318" w:history="1">
        <w:r w:rsidR="008F4696" w:rsidRPr="00BB6278">
          <w:rPr>
            <w:rStyle w:val="Hyperlink"/>
            <w:noProof/>
          </w:rPr>
          <w:t>4.4</w:t>
        </w:r>
        <w:r w:rsidR="008F4696">
          <w:rPr>
            <w:rFonts w:eastAsiaTheme="minorEastAsia"/>
            <w:noProof/>
            <w:color w:val="auto"/>
            <w:sz w:val="22"/>
            <w:lang w:val="en-US"/>
          </w:rPr>
          <w:tab/>
        </w:r>
        <w:r w:rsidR="008F4696" w:rsidRPr="00BB6278">
          <w:rPr>
            <w:rStyle w:val="Hyperlink"/>
            <w:noProof/>
          </w:rPr>
          <w:t>Development Contributions</w:t>
        </w:r>
        <w:r w:rsidR="008F4696">
          <w:rPr>
            <w:noProof/>
            <w:webHidden/>
          </w:rPr>
          <w:tab/>
        </w:r>
        <w:r w:rsidR="008F4696">
          <w:rPr>
            <w:noProof/>
            <w:webHidden/>
          </w:rPr>
          <w:fldChar w:fldCharType="begin"/>
        </w:r>
        <w:r w:rsidR="008F4696">
          <w:rPr>
            <w:noProof/>
            <w:webHidden/>
          </w:rPr>
          <w:instrText xml:space="preserve"> PAGEREF _Toc48230318 \h </w:instrText>
        </w:r>
        <w:r w:rsidR="008F4696">
          <w:rPr>
            <w:noProof/>
            <w:webHidden/>
          </w:rPr>
        </w:r>
        <w:r w:rsidR="008F4696">
          <w:rPr>
            <w:noProof/>
            <w:webHidden/>
          </w:rPr>
          <w:fldChar w:fldCharType="separate"/>
        </w:r>
        <w:r w:rsidR="008F4696">
          <w:rPr>
            <w:noProof/>
            <w:webHidden/>
          </w:rPr>
          <w:t>32</w:t>
        </w:r>
        <w:r w:rsidR="008F4696">
          <w:rPr>
            <w:noProof/>
            <w:webHidden/>
          </w:rPr>
          <w:fldChar w:fldCharType="end"/>
        </w:r>
      </w:hyperlink>
    </w:p>
    <w:p w14:paraId="2C8DAC04" w14:textId="4D6C9A76" w:rsidR="008F4696" w:rsidRDefault="00CE4039">
      <w:pPr>
        <w:pStyle w:val="TOC5"/>
        <w:rPr>
          <w:rFonts w:eastAsiaTheme="minorEastAsia"/>
          <w:noProof/>
          <w:color w:val="auto"/>
          <w:sz w:val="22"/>
          <w:lang w:val="en-US"/>
        </w:rPr>
      </w:pPr>
      <w:hyperlink w:anchor="_Toc48230319" w:history="1">
        <w:r w:rsidR="008F4696" w:rsidRPr="00BB6278">
          <w:rPr>
            <w:rStyle w:val="Hyperlink"/>
            <w:noProof/>
          </w:rPr>
          <w:t>4.5</w:t>
        </w:r>
        <w:r w:rsidR="008F4696">
          <w:rPr>
            <w:rFonts w:eastAsiaTheme="minorEastAsia"/>
            <w:noProof/>
            <w:color w:val="auto"/>
            <w:sz w:val="22"/>
            <w:lang w:val="en-US"/>
          </w:rPr>
          <w:tab/>
        </w:r>
        <w:r w:rsidR="008F4696" w:rsidRPr="00BB6278">
          <w:rPr>
            <w:rStyle w:val="Hyperlink"/>
            <w:noProof/>
          </w:rPr>
          <w:t>Submissions</w:t>
        </w:r>
        <w:r w:rsidR="008F4696">
          <w:rPr>
            <w:noProof/>
            <w:webHidden/>
          </w:rPr>
          <w:tab/>
        </w:r>
        <w:r w:rsidR="008F4696">
          <w:rPr>
            <w:noProof/>
            <w:webHidden/>
          </w:rPr>
          <w:fldChar w:fldCharType="begin"/>
        </w:r>
        <w:r w:rsidR="008F4696">
          <w:rPr>
            <w:noProof/>
            <w:webHidden/>
          </w:rPr>
          <w:instrText xml:space="preserve"> PAGEREF _Toc48230319 \h </w:instrText>
        </w:r>
        <w:r w:rsidR="008F4696">
          <w:rPr>
            <w:noProof/>
            <w:webHidden/>
          </w:rPr>
        </w:r>
        <w:r w:rsidR="008F4696">
          <w:rPr>
            <w:noProof/>
            <w:webHidden/>
          </w:rPr>
          <w:fldChar w:fldCharType="separate"/>
        </w:r>
        <w:r w:rsidR="008F4696">
          <w:rPr>
            <w:noProof/>
            <w:webHidden/>
          </w:rPr>
          <w:t>32</w:t>
        </w:r>
        <w:r w:rsidR="008F4696">
          <w:rPr>
            <w:noProof/>
            <w:webHidden/>
          </w:rPr>
          <w:fldChar w:fldCharType="end"/>
        </w:r>
      </w:hyperlink>
    </w:p>
    <w:p w14:paraId="520CD272" w14:textId="1023B8AB" w:rsidR="008F4696" w:rsidRDefault="00CE4039">
      <w:pPr>
        <w:pStyle w:val="TOC6"/>
        <w:rPr>
          <w:rFonts w:eastAsiaTheme="minorEastAsia"/>
          <w:color w:val="auto"/>
          <w:sz w:val="22"/>
          <w:lang w:val="en-US"/>
        </w:rPr>
      </w:pPr>
      <w:hyperlink w:anchor="_Toc48230320" w:history="1">
        <w:r w:rsidR="008F4696" w:rsidRPr="00BB6278">
          <w:rPr>
            <w:rStyle w:val="Hyperlink"/>
          </w:rPr>
          <w:t>4.5.1</w:t>
        </w:r>
        <w:r w:rsidR="008F4696">
          <w:rPr>
            <w:rFonts w:eastAsiaTheme="minorEastAsia"/>
            <w:color w:val="auto"/>
            <w:sz w:val="22"/>
            <w:lang w:val="en-US"/>
          </w:rPr>
          <w:tab/>
        </w:r>
        <w:r w:rsidR="008F4696" w:rsidRPr="00BB6278">
          <w:rPr>
            <w:rStyle w:val="Hyperlink"/>
          </w:rPr>
          <w:t>Community consultation</w:t>
        </w:r>
        <w:r w:rsidR="008F4696">
          <w:rPr>
            <w:webHidden/>
          </w:rPr>
          <w:tab/>
        </w:r>
        <w:r w:rsidR="008F4696">
          <w:rPr>
            <w:webHidden/>
          </w:rPr>
          <w:fldChar w:fldCharType="begin"/>
        </w:r>
        <w:r w:rsidR="008F4696">
          <w:rPr>
            <w:webHidden/>
          </w:rPr>
          <w:instrText xml:space="preserve"> PAGEREF _Toc48230320 \h </w:instrText>
        </w:r>
        <w:r w:rsidR="008F4696">
          <w:rPr>
            <w:webHidden/>
          </w:rPr>
        </w:r>
        <w:r w:rsidR="008F4696">
          <w:rPr>
            <w:webHidden/>
          </w:rPr>
          <w:fldChar w:fldCharType="separate"/>
        </w:r>
        <w:r w:rsidR="008F4696">
          <w:rPr>
            <w:webHidden/>
          </w:rPr>
          <w:t>32</w:t>
        </w:r>
        <w:r w:rsidR="008F4696">
          <w:rPr>
            <w:webHidden/>
          </w:rPr>
          <w:fldChar w:fldCharType="end"/>
        </w:r>
      </w:hyperlink>
    </w:p>
    <w:p w14:paraId="50F233B5" w14:textId="49DA0FE8" w:rsidR="008F4696" w:rsidRDefault="00CE4039">
      <w:pPr>
        <w:pStyle w:val="TOC5"/>
        <w:rPr>
          <w:rFonts w:eastAsiaTheme="minorEastAsia"/>
          <w:noProof/>
          <w:color w:val="auto"/>
          <w:sz w:val="22"/>
          <w:lang w:val="en-US"/>
        </w:rPr>
      </w:pPr>
      <w:hyperlink w:anchor="_Toc48230321" w:history="1">
        <w:r w:rsidR="008F4696" w:rsidRPr="00BB6278">
          <w:rPr>
            <w:rStyle w:val="Hyperlink"/>
            <w:noProof/>
          </w:rPr>
          <w:t>4.6</w:t>
        </w:r>
        <w:r w:rsidR="008F4696">
          <w:rPr>
            <w:rFonts w:eastAsiaTheme="minorEastAsia"/>
            <w:noProof/>
            <w:color w:val="auto"/>
            <w:sz w:val="22"/>
            <w:lang w:val="en-US"/>
          </w:rPr>
          <w:tab/>
        </w:r>
        <w:r w:rsidR="008F4696" w:rsidRPr="00BB6278">
          <w:rPr>
            <w:rStyle w:val="Hyperlink"/>
            <w:noProof/>
          </w:rPr>
          <w:t>Public Interest</w:t>
        </w:r>
        <w:r w:rsidR="008F4696">
          <w:rPr>
            <w:noProof/>
            <w:webHidden/>
          </w:rPr>
          <w:tab/>
        </w:r>
        <w:r w:rsidR="008F4696">
          <w:rPr>
            <w:noProof/>
            <w:webHidden/>
          </w:rPr>
          <w:fldChar w:fldCharType="begin"/>
        </w:r>
        <w:r w:rsidR="008F4696">
          <w:rPr>
            <w:noProof/>
            <w:webHidden/>
          </w:rPr>
          <w:instrText xml:space="preserve"> PAGEREF _Toc48230321 \h </w:instrText>
        </w:r>
        <w:r w:rsidR="008F4696">
          <w:rPr>
            <w:noProof/>
            <w:webHidden/>
          </w:rPr>
        </w:r>
        <w:r w:rsidR="008F4696">
          <w:rPr>
            <w:noProof/>
            <w:webHidden/>
          </w:rPr>
          <w:fldChar w:fldCharType="separate"/>
        </w:r>
        <w:r w:rsidR="008F4696">
          <w:rPr>
            <w:noProof/>
            <w:webHidden/>
          </w:rPr>
          <w:t>33</w:t>
        </w:r>
        <w:r w:rsidR="008F4696">
          <w:rPr>
            <w:noProof/>
            <w:webHidden/>
          </w:rPr>
          <w:fldChar w:fldCharType="end"/>
        </w:r>
      </w:hyperlink>
    </w:p>
    <w:p w14:paraId="76B68DDA" w14:textId="43334CBF" w:rsidR="008F4696" w:rsidRDefault="00CE4039">
      <w:pPr>
        <w:pStyle w:val="TOC4"/>
        <w:rPr>
          <w:rFonts w:eastAsiaTheme="minorEastAsia"/>
          <w:b w:val="0"/>
          <w:caps w:val="0"/>
          <w:noProof/>
          <w:color w:val="auto"/>
          <w:sz w:val="22"/>
          <w:lang w:val="en-US" w:eastAsia="en-US"/>
        </w:rPr>
      </w:pPr>
      <w:hyperlink w:anchor="_Toc48230322" w:history="1">
        <w:r w:rsidR="008F4696" w:rsidRPr="00BB6278">
          <w:rPr>
            <w:rStyle w:val="Hyperlink"/>
            <w:noProof/>
          </w:rPr>
          <w:t>5</w:t>
        </w:r>
        <w:r w:rsidR="008F4696">
          <w:rPr>
            <w:rFonts w:eastAsiaTheme="minorEastAsia"/>
            <w:b w:val="0"/>
            <w:caps w:val="0"/>
            <w:noProof/>
            <w:color w:val="auto"/>
            <w:sz w:val="22"/>
            <w:lang w:val="en-US" w:eastAsia="en-US"/>
          </w:rPr>
          <w:tab/>
        </w:r>
        <w:r w:rsidR="008F4696" w:rsidRPr="00BB6278">
          <w:rPr>
            <w:rStyle w:val="Hyperlink"/>
            <w:noProof/>
          </w:rPr>
          <w:t>Environmental Assessment</w:t>
        </w:r>
        <w:r w:rsidR="008F4696">
          <w:rPr>
            <w:noProof/>
            <w:webHidden/>
          </w:rPr>
          <w:tab/>
        </w:r>
        <w:r w:rsidR="008F4696">
          <w:rPr>
            <w:noProof/>
            <w:webHidden/>
          </w:rPr>
          <w:fldChar w:fldCharType="begin"/>
        </w:r>
        <w:r w:rsidR="008F4696">
          <w:rPr>
            <w:noProof/>
            <w:webHidden/>
          </w:rPr>
          <w:instrText xml:space="preserve"> PAGEREF _Toc48230322 \h </w:instrText>
        </w:r>
        <w:r w:rsidR="008F4696">
          <w:rPr>
            <w:noProof/>
            <w:webHidden/>
          </w:rPr>
        </w:r>
        <w:r w:rsidR="008F4696">
          <w:rPr>
            <w:noProof/>
            <w:webHidden/>
          </w:rPr>
          <w:fldChar w:fldCharType="separate"/>
        </w:r>
        <w:r w:rsidR="008F4696">
          <w:rPr>
            <w:noProof/>
            <w:webHidden/>
          </w:rPr>
          <w:t>34</w:t>
        </w:r>
        <w:r w:rsidR="008F4696">
          <w:rPr>
            <w:noProof/>
            <w:webHidden/>
          </w:rPr>
          <w:fldChar w:fldCharType="end"/>
        </w:r>
      </w:hyperlink>
    </w:p>
    <w:p w14:paraId="546CE200" w14:textId="2BC17AEC" w:rsidR="008F4696" w:rsidRDefault="00CE4039">
      <w:pPr>
        <w:pStyle w:val="TOC6"/>
        <w:rPr>
          <w:rFonts w:eastAsiaTheme="minorEastAsia"/>
          <w:color w:val="auto"/>
          <w:sz w:val="22"/>
          <w:lang w:val="en-US"/>
        </w:rPr>
      </w:pPr>
      <w:hyperlink w:anchor="_Toc48230323" w:history="1">
        <w:r w:rsidR="008F4696" w:rsidRPr="00BB6278">
          <w:rPr>
            <w:rStyle w:val="Hyperlink"/>
          </w:rPr>
          <w:t>5.1.1</w:t>
        </w:r>
        <w:r w:rsidR="008F4696">
          <w:rPr>
            <w:rFonts w:eastAsiaTheme="minorEastAsia"/>
            <w:color w:val="auto"/>
            <w:sz w:val="22"/>
            <w:lang w:val="en-US"/>
          </w:rPr>
          <w:tab/>
        </w:r>
        <w:r w:rsidR="008F4696" w:rsidRPr="00BB6278">
          <w:rPr>
            <w:rStyle w:val="Hyperlink"/>
          </w:rPr>
          <w:t>Built form and streetscape</w:t>
        </w:r>
        <w:r w:rsidR="008F4696">
          <w:rPr>
            <w:webHidden/>
          </w:rPr>
          <w:tab/>
        </w:r>
        <w:r w:rsidR="008F4696">
          <w:rPr>
            <w:webHidden/>
          </w:rPr>
          <w:fldChar w:fldCharType="begin"/>
        </w:r>
        <w:r w:rsidR="008F4696">
          <w:rPr>
            <w:webHidden/>
          </w:rPr>
          <w:instrText xml:space="preserve"> PAGEREF _Toc48230323 \h </w:instrText>
        </w:r>
        <w:r w:rsidR="008F4696">
          <w:rPr>
            <w:webHidden/>
          </w:rPr>
        </w:r>
        <w:r w:rsidR="008F4696">
          <w:rPr>
            <w:webHidden/>
          </w:rPr>
          <w:fldChar w:fldCharType="separate"/>
        </w:r>
        <w:r w:rsidR="008F4696">
          <w:rPr>
            <w:webHidden/>
          </w:rPr>
          <w:t>34</w:t>
        </w:r>
        <w:r w:rsidR="008F4696">
          <w:rPr>
            <w:webHidden/>
          </w:rPr>
          <w:fldChar w:fldCharType="end"/>
        </w:r>
      </w:hyperlink>
    </w:p>
    <w:p w14:paraId="7026F2F0" w14:textId="3F516281" w:rsidR="008F4696" w:rsidRDefault="00CE4039">
      <w:pPr>
        <w:pStyle w:val="TOC6"/>
        <w:rPr>
          <w:rFonts w:eastAsiaTheme="minorEastAsia"/>
          <w:color w:val="auto"/>
          <w:sz w:val="22"/>
          <w:lang w:val="en-US"/>
        </w:rPr>
      </w:pPr>
      <w:hyperlink w:anchor="_Toc48230324" w:history="1">
        <w:r w:rsidR="008F4696" w:rsidRPr="00BB6278">
          <w:rPr>
            <w:rStyle w:val="Hyperlink"/>
          </w:rPr>
          <w:t>5.1.2</w:t>
        </w:r>
        <w:r w:rsidR="008F4696">
          <w:rPr>
            <w:rFonts w:eastAsiaTheme="minorEastAsia"/>
            <w:color w:val="auto"/>
            <w:sz w:val="22"/>
            <w:lang w:val="en-US"/>
          </w:rPr>
          <w:tab/>
        </w:r>
        <w:r w:rsidR="008F4696" w:rsidRPr="00BB6278">
          <w:rPr>
            <w:rStyle w:val="Hyperlink"/>
          </w:rPr>
          <w:t>Traffic and parking</w:t>
        </w:r>
        <w:r w:rsidR="008F4696">
          <w:rPr>
            <w:webHidden/>
          </w:rPr>
          <w:tab/>
        </w:r>
        <w:r w:rsidR="008F4696">
          <w:rPr>
            <w:webHidden/>
          </w:rPr>
          <w:fldChar w:fldCharType="begin"/>
        </w:r>
        <w:r w:rsidR="008F4696">
          <w:rPr>
            <w:webHidden/>
          </w:rPr>
          <w:instrText xml:space="preserve"> PAGEREF _Toc48230324 \h </w:instrText>
        </w:r>
        <w:r w:rsidR="008F4696">
          <w:rPr>
            <w:webHidden/>
          </w:rPr>
        </w:r>
        <w:r w:rsidR="008F4696">
          <w:rPr>
            <w:webHidden/>
          </w:rPr>
          <w:fldChar w:fldCharType="separate"/>
        </w:r>
        <w:r w:rsidR="008F4696">
          <w:rPr>
            <w:webHidden/>
          </w:rPr>
          <w:t>35</w:t>
        </w:r>
        <w:r w:rsidR="008F4696">
          <w:rPr>
            <w:webHidden/>
          </w:rPr>
          <w:fldChar w:fldCharType="end"/>
        </w:r>
      </w:hyperlink>
    </w:p>
    <w:p w14:paraId="2142D255" w14:textId="0BFDCECF" w:rsidR="008F4696" w:rsidRDefault="00CE4039">
      <w:pPr>
        <w:pStyle w:val="TOC5"/>
        <w:rPr>
          <w:rFonts w:eastAsiaTheme="minorEastAsia"/>
          <w:noProof/>
          <w:color w:val="auto"/>
          <w:sz w:val="22"/>
          <w:lang w:val="en-US"/>
        </w:rPr>
      </w:pPr>
      <w:hyperlink w:anchor="_Toc48230325" w:history="1">
        <w:r w:rsidR="008F4696" w:rsidRPr="00BB6278">
          <w:rPr>
            <w:rStyle w:val="Hyperlink"/>
            <w:noProof/>
          </w:rPr>
          <w:t>5.2</w:t>
        </w:r>
        <w:r w:rsidR="008F4696">
          <w:rPr>
            <w:rFonts w:eastAsiaTheme="minorEastAsia"/>
            <w:noProof/>
            <w:color w:val="auto"/>
            <w:sz w:val="22"/>
            <w:lang w:val="en-US"/>
          </w:rPr>
          <w:tab/>
        </w:r>
        <w:r w:rsidR="008F4696" w:rsidRPr="00BB6278">
          <w:rPr>
            <w:rStyle w:val="Hyperlink"/>
            <w:noProof/>
          </w:rPr>
          <w:t>Suitability of the site for Development</w:t>
        </w:r>
        <w:r w:rsidR="008F4696">
          <w:rPr>
            <w:noProof/>
            <w:webHidden/>
          </w:rPr>
          <w:tab/>
        </w:r>
        <w:r w:rsidR="008F4696">
          <w:rPr>
            <w:noProof/>
            <w:webHidden/>
          </w:rPr>
          <w:fldChar w:fldCharType="begin"/>
        </w:r>
        <w:r w:rsidR="008F4696">
          <w:rPr>
            <w:noProof/>
            <w:webHidden/>
          </w:rPr>
          <w:instrText xml:space="preserve"> PAGEREF _Toc48230325 \h </w:instrText>
        </w:r>
        <w:r w:rsidR="008F4696">
          <w:rPr>
            <w:noProof/>
            <w:webHidden/>
          </w:rPr>
        </w:r>
        <w:r w:rsidR="008F4696">
          <w:rPr>
            <w:noProof/>
            <w:webHidden/>
          </w:rPr>
          <w:fldChar w:fldCharType="separate"/>
        </w:r>
        <w:r w:rsidR="008F4696">
          <w:rPr>
            <w:noProof/>
            <w:webHidden/>
          </w:rPr>
          <w:t>36</w:t>
        </w:r>
        <w:r w:rsidR="008F4696">
          <w:rPr>
            <w:noProof/>
            <w:webHidden/>
          </w:rPr>
          <w:fldChar w:fldCharType="end"/>
        </w:r>
      </w:hyperlink>
    </w:p>
    <w:p w14:paraId="1B8BC526" w14:textId="33315A83" w:rsidR="008F4696" w:rsidRDefault="00CE4039">
      <w:pPr>
        <w:pStyle w:val="TOC4"/>
        <w:rPr>
          <w:rFonts w:eastAsiaTheme="minorEastAsia"/>
          <w:b w:val="0"/>
          <w:caps w:val="0"/>
          <w:noProof/>
          <w:color w:val="auto"/>
          <w:sz w:val="22"/>
          <w:lang w:val="en-US" w:eastAsia="en-US"/>
        </w:rPr>
      </w:pPr>
      <w:hyperlink w:anchor="_Toc48230326" w:history="1">
        <w:r w:rsidR="008F4696" w:rsidRPr="00BB6278">
          <w:rPr>
            <w:rStyle w:val="Hyperlink"/>
            <w:noProof/>
          </w:rPr>
          <w:t>6</w:t>
        </w:r>
        <w:r w:rsidR="008F4696">
          <w:rPr>
            <w:rFonts w:eastAsiaTheme="minorEastAsia"/>
            <w:b w:val="0"/>
            <w:caps w:val="0"/>
            <w:noProof/>
            <w:color w:val="auto"/>
            <w:sz w:val="22"/>
            <w:lang w:val="en-US" w:eastAsia="en-US"/>
          </w:rPr>
          <w:tab/>
        </w:r>
        <w:r w:rsidR="008F4696" w:rsidRPr="00BB6278">
          <w:rPr>
            <w:rStyle w:val="Hyperlink"/>
            <w:noProof/>
          </w:rPr>
          <w:t>Conclusion</w:t>
        </w:r>
        <w:r w:rsidR="008F4696">
          <w:rPr>
            <w:noProof/>
            <w:webHidden/>
          </w:rPr>
          <w:tab/>
        </w:r>
        <w:r w:rsidR="008F4696">
          <w:rPr>
            <w:noProof/>
            <w:webHidden/>
          </w:rPr>
          <w:fldChar w:fldCharType="begin"/>
        </w:r>
        <w:r w:rsidR="008F4696">
          <w:rPr>
            <w:noProof/>
            <w:webHidden/>
          </w:rPr>
          <w:instrText xml:space="preserve"> PAGEREF _Toc48230326 \h </w:instrText>
        </w:r>
        <w:r w:rsidR="008F4696">
          <w:rPr>
            <w:noProof/>
            <w:webHidden/>
          </w:rPr>
        </w:r>
        <w:r w:rsidR="008F4696">
          <w:rPr>
            <w:noProof/>
            <w:webHidden/>
          </w:rPr>
          <w:fldChar w:fldCharType="separate"/>
        </w:r>
        <w:r w:rsidR="008F4696">
          <w:rPr>
            <w:noProof/>
            <w:webHidden/>
          </w:rPr>
          <w:t>37</w:t>
        </w:r>
        <w:r w:rsidR="008F4696">
          <w:rPr>
            <w:noProof/>
            <w:webHidden/>
          </w:rPr>
          <w:fldChar w:fldCharType="end"/>
        </w:r>
      </w:hyperlink>
    </w:p>
    <w:p w14:paraId="5C16F41B" w14:textId="79C27DA2" w:rsidR="008F4696" w:rsidRDefault="00CE4039">
      <w:pPr>
        <w:pStyle w:val="TOC5"/>
        <w:rPr>
          <w:rFonts w:eastAsiaTheme="minorEastAsia"/>
          <w:noProof/>
          <w:color w:val="auto"/>
          <w:sz w:val="22"/>
          <w:lang w:val="en-US"/>
        </w:rPr>
      </w:pPr>
      <w:hyperlink w:anchor="_Toc48230327" w:history="1">
        <w:r w:rsidR="008F4696" w:rsidRPr="00BB6278">
          <w:rPr>
            <w:rStyle w:val="Hyperlink"/>
            <w:noProof/>
          </w:rPr>
          <w:t>6.1</w:t>
        </w:r>
        <w:r w:rsidR="008F4696">
          <w:rPr>
            <w:rFonts w:eastAsiaTheme="minorEastAsia"/>
            <w:noProof/>
            <w:color w:val="auto"/>
            <w:sz w:val="22"/>
            <w:lang w:val="en-US"/>
          </w:rPr>
          <w:tab/>
        </w:r>
        <w:r w:rsidR="008F4696" w:rsidRPr="00BB6278">
          <w:rPr>
            <w:rStyle w:val="Hyperlink"/>
            <w:noProof/>
          </w:rPr>
          <w:t>Recommendation</w:t>
        </w:r>
        <w:r w:rsidR="008F4696">
          <w:rPr>
            <w:noProof/>
            <w:webHidden/>
          </w:rPr>
          <w:tab/>
        </w:r>
        <w:r w:rsidR="008F4696">
          <w:rPr>
            <w:noProof/>
            <w:webHidden/>
          </w:rPr>
          <w:fldChar w:fldCharType="begin"/>
        </w:r>
        <w:r w:rsidR="008F4696">
          <w:rPr>
            <w:noProof/>
            <w:webHidden/>
          </w:rPr>
          <w:instrText xml:space="preserve"> PAGEREF _Toc48230327 \h </w:instrText>
        </w:r>
        <w:r w:rsidR="008F4696">
          <w:rPr>
            <w:noProof/>
            <w:webHidden/>
          </w:rPr>
        </w:r>
        <w:r w:rsidR="008F4696">
          <w:rPr>
            <w:noProof/>
            <w:webHidden/>
          </w:rPr>
          <w:fldChar w:fldCharType="separate"/>
        </w:r>
        <w:r w:rsidR="008F4696">
          <w:rPr>
            <w:noProof/>
            <w:webHidden/>
          </w:rPr>
          <w:t>37</w:t>
        </w:r>
        <w:r w:rsidR="008F4696">
          <w:rPr>
            <w:noProof/>
            <w:webHidden/>
          </w:rPr>
          <w:fldChar w:fldCharType="end"/>
        </w:r>
      </w:hyperlink>
    </w:p>
    <w:p w14:paraId="4D5A54D2" w14:textId="60394975" w:rsidR="001A531B" w:rsidRDefault="00DF4D10" w:rsidP="001A531B">
      <w:r w:rsidRPr="00113385">
        <w:fldChar w:fldCharType="end"/>
      </w:r>
    </w:p>
    <w:p w14:paraId="1D74E040" w14:textId="77777777" w:rsidR="00DF4D10" w:rsidRDefault="00DF4D10" w:rsidP="006D2FD7">
      <w:pPr>
        <w:pStyle w:val="TOCHeading2"/>
      </w:pPr>
      <w:r>
        <w:t>Figures</w:t>
      </w:r>
    </w:p>
    <w:p w14:paraId="207C8E6A" w14:textId="028D6276" w:rsidR="008F4696" w:rsidRDefault="00A11BBA">
      <w:pPr>
        <w:pStyle w:val="TableofFigures"/>
        <w:rPr>
          <w:rFonts w:eastAsiaTheme="minorEastAsia"/>
          <w:color w:val="auto"/>
          <w:sz w:val="22"/>
          <w:lang w:val="en-US"/>
        </w:rPr>
      </w:pPr>
      <w:r>
        <w:rPr>
          <w:caps/>
          <w:noProof w:val="0"/>
        </w:rPr>
        <w:fldChar w:fldCharType="begin"/>
      </w:r>
      <w:r>
        <w:rPr>
          <w:caps/>
        </w:rPr>
        <w:instrText xml:space="preserve"> TOC \h \z \t "Caption" \c </w:instrText>
      </w:r>
      <w:r>
        <w:rPr>
          <w:caps/>
          <w:noProof w:val="0"/>
        </w:rPr>
        <w:fldChar w:fldCharType="separate"/>
      </w:r>
      <w:hyperlink w:anchor="_Toc48230334" w:history="1">
        <w:r w:rsidR="008F4696" w:rsidRPr="00013AC2">
          <w:rPr>
            <w:rStyle w:val="Hyperlink"/>
          </w:rPr>
          <w:t>Figure 1</w:t>
        </w:r>
        <w:r w:rsidR="008F4696">
          <w:rPr>
            <w:rFonts w:eastAsiaTheme="minorEastAsia"/>
            <w:color w:val="auto"/>
            <w:sz w:val="22"/>
            <w:lang w:val="en-US"/>
          </w:rPr>
          <w:tab/>
        </w:r>
        <w:r w:rsidR="008F4696" w:rsidRPr="00013AC2">
          <w:rPr>
            <w:rStyle w:val="Hyperlink"/>
          </w:rPr>
          <w:t>Aerial photograph of the subject site</w:t>
        </w:r>
        <w:r w:rsidR="008F4696">
          <w:rPr>
            <w:webHidden/>
          </w:rPr>
          <w:tab/>
        </w:r>
        <w:r w:rsidR="008F4696">
          <w:rPr>
            <w:webHidden/>
          </w:rPr>
          <w:fldChar w:fldCharType="begin"/>
        </w:r>
        <w:r w:rsidR="008F4696">
          <w:rPr>
            <w:webHidden/>
          </w:rPr>
          <w:instrText xml:space="preserve"> PAGEREF _Toc48230334 \h </w:instrText>
        </w:r>
        <w:r w:rsidR="008F4696">
          <w:rPr>
            <w:webHidden/>
          </w:rPr>
        </w:r>
        <w:r w:rsidR="008F4696">
          <w:rPr>
            <w:webHidden/>
          </w:rPr>
          <w:fldChar w:fldCharType="separate"/>
        </w:r>
        <w:r w:rsidR="008F4696">
          <w:rPr>
            <w:webHidden/>
          </w:rPr>
          <w:t>7</w:t>
        </w:r>
        <w:r w:rsidR="008F4696">
          <w:rPr>
            <w:webHidden/>
          </w:rPr>
          <w:fldChar w:fldCharType="end"/>
        </w:r>
      </w:hyperlink>
    </w:p>
    <w:p w14:paraId="65703DBD" w14:textId="639413E7" w:rsidR="008F4696" w:rsidRDefault="00CE4039">
      <w:pPr>
        <w:pStyle w:val="TableofFigures"/>
        <w:rPr>
          <w:rFonts w:eastAsiaTheme="minorEastAsia"/>
          <w:color w:val="auto"/>
          <w:sz w:val="22"/>
          <w:lang w:val="en-US"/>
        </w:rPr>
      </w:pPr>
      <w:hyperlink w:anchor="_Toc48230335" w:history="1">
        <w:r w:rsidR="008F4696" w:rsidRPr="00013AC2">
          <w:rPr>
            <w:rStyle w:val="Hyperlink"/>
          </w:rPr>
          <w:t>Figure 2</w:t>
        </w:r>
        <w:r w:rsidR="008F4696">
          <w:rPr>
            <w:rFonts w:eastAsiaTheme="minorEastAsia"/>
            <w:color w:val="auto"/>
            <w:sz w:val="22"/>
            <w:lang w:val="en-US"/>
          </w:rPr>
          <w:tab/>
        </w:r>
        <w:r w:rsidR="008F4696" w:rsidRPr="00013AC2">
          <w:rPr>
            <w:rStyle w:val="Hyperlink"/>
          </w:rPr>
          <w:t>Site Context Plan</w:t>
        </w:r>
        <w:r w:rsidR="008F4696">
          <w:rPr>
            <w:webHidden/>
          </w:rPr>
          <w:tab/>
        </w:r>
        <w:r w:rsidR="008F4696">
          <w:rPr>
            <w:webHidden/>
          </w:rPr>
          <w:fldChar w:fldCharType="begin"/>
        </w:r>
        <w:r w:rsidR="008F4696">
          <w:rPr>
            <w:webHidden/>
          </w:rPr>
          <w:instrText xml:space="preserve"> PAGEREF _Toc48230335 \h </w:instrText>
        </w:r>
        <w:r w:rsidR="008F4696">
          <w:rPr>
            <w:webHidden/>
          </w:rPr>
        </w:r>
        <w:r w:rsidR="008F4696">
          <w:rPr>
            <w:webHidden/>
          </w:rPr>
          <w:fldChar w:fldCharType="separate"/>
        </w:r>
        <w:r w:rsidR="008F4696">
          <w:rPr>
            <w:webHidden/>
          </w:rPr>
          <w:t>8</w:t>
        </w:r>
        <w:r w:rsidR="008F4696">
          <w:rPr>
            <w:webHidden/>
          </w:rPr>
          <w:fldChar w:fldCharType="end"/>
        </w:r>
      </w:hyperlink>
    </w:p>
    <w:p w14:paraId="1DFD7592" w14:textId="1DDAFF1E" w:rsidR="008F4696" w:rsidRDefault="00CE4039">
      <w:pPr>
        <w:pStyle w:val="TableofFigures"/>
        <w:rPr>
          <w:rFonts w:eastAsiaTheme="minorEastAsia"/>
          <w:color w:val="auto"/>
          <w:sz w:val="22"/>
          <w:lang w:val="en-US"/>
        </w:rPr>
      </w:pPr>
      <w:hyperlink w:anchor="_Toc48230336" w:history="1">
        <w:r w:rsidR="008F4696" w:rsidRPr="00013AC2">
          <w:rPr>
            <w:rStyle w:val="Hyperlink"/>
          </w:rPr>
          <w:t>Figure 3</w:t>
        </w:r>
        <w:r w:rsidR="008F4696">
          <w:rPr>
            <w:rFonts w:eastAsiaTheme="minorEastAsia"/>
            <w:color w:val="auto"/>
            <w:sz w:val="22"/>
            <w:lang w:val="en-US"/>
          </w:rPr>
          <w:tab/>
        </w:r>
        <w:r w:rsidR="008F4696" w:rsidRPr="00013AC2">
          <w:rPr>
            <w:rStyle w:val="Hyperlink"/>
          </w:rPr>
          <w:t>Surrounding development character</w:t>
        </w:r>
        <w:r w:rsidR="008F4696">
          <w:rPr>
            <w:webHidden/>
          </w:rPr>
          <w:tab/>
        </w:r>
        <w:r w:rsidR="008F4696">
          <w:rPr>
            <w:webHidden/>
          </w:rPr>
          <w:fldChar w:fldCharType="begin"/>
        </w:r>
        <w:r w:rsidR="008F4696">
          <w:rPr>
            <w:webHidden/>
          </w:rPr>
          <w:instrText xml:space="preserve"> PAGEREF _Toc48230336 \h </w:instrText>
        </w:r>
        <w:r w:rsidR="008F4696">
          <w:rPr>
            <w:webHidden/>
          </w:rPr>
        </w:r>
        <w:r w:rsidR="008F4696">
          <w:rPr>
            <w:webHidden/>
          </w:rPr>
          <w:fldChar w:fldCharType="separate"/>
        </w:r>
        <w:r w:rsidR="008F4696">
          <w:rPr>
            <w:webHidden/>
          </w:rPr>
          <w:t>9</w:t>
        </w:r>
        <w:r w:rsidR="008F4696">
          <w:rPr>
            <w:webHidden/>
          </w:rPr>
          <w:fldChar w:fldCharType="end"/>
        </w:r>
      </w:hyperlink>
    </w:p>
    <w:p w14:paraId="1F9429D3" w14:textId="15C7174C" w:rsidR="008F4696" w:rsidRDefault="00CE4039">
      <w:pPr>
        <w:pStyle w:val="TableofFigures"/>
        <w:rPr>
          <w:rFonts w:eastAsiaTheme="minorEastAsia"/>
          <w:color w:val="auto"/>
          <w:sz w:val="22"/>
          <w:lang w:val="en-US"/>
        </w:rPr>
      </w:pPr>
      <w:hyperlink w:anchor="_Toc48230337" w:history="1">
        <w:r w:rsidR="008F4696" w:rsidRPr="00013AC2">
          <w:rPr>
            <w:rStyle w:val="Hyperlink"/>
          </w:rPr>
          <w:t>Figure 4</w:t>
        </w:r>
        <w:r w:rsidR="008F4696">
          <w:rPr>
            <w:rFonts w:eastAsiaTheme="minorEastAsia"/>
            <w:color w:val="auto"/>
            <w:sz w:val="22"/>
            <w:lang w:val="en-US"/>
          </w:rPr>
          <w:tab/>
        </w:r>
        <w:r w:rsidR="008F4696" w:rsidRPr="00013AC2">
          <w:rPr>
            <w:rStyle w:val="Hyperlink"/>
          </w:rPr>
          <w:t>Streetscape elevation</w:t>
        </w:r>
        <w:r w:rsidR="008F4696">
          <w:rPr>
            <w:webHidden/>
          </w:rPr>
          <w:tab/>
        </w:r>
        <w:r w:rsidR="008F4696">
          <w:rPr>
            <w:webHidden/>
          </w:rPr>
          <w:fldChar w:fldCharType="begin"/>
        </w:r>
        <w:r w:rsidR="008F4696">
          <w:rPr>
            <w:webHidden/>
          </w:rPr>
          <w:instrText xml:space="preserve"> PAGEREF _Toc48230337 \h </w:instrText>
        </w:r>
        <w:r w:rsidR="008F4696">
          <w:rPr>
            <w:webHidden/>
          </w:rPr>
        </w:r>
        <w:r w:rsidR="008F4696">
          <w:rPr>
            <w:webHidden/>
          </w:rPr>
          <w:fldChar w:fldCharType="separate"/>
        </w:r>
        <w:r w:rsidR="008F4696">
          <w:rPr>
            <w:webHidden/>
          </w:rPr>
          <w:t>11</w:t>
        </w:r>
        <w:r w:rsidR="008F4696">
          <w:rPr>
            <w:webHidden/>
          </w:rPr>
          <w:fldChar w:fldCharType="end"/>
        </w:r>
      </w:hyperlink>
    </w:p>
    <w:p w14:paraId="12153795" w14:textId="213403A0" w:rsidR="008F4696" w:rsidRDefault="00CE4039">
      <w:pPr>
        <w:pStyle w:val="TableofFigures"/>
        <w:rPr>
          <w:rFonts w:eastAsiaTheme="minorEastAsia"/>
          <w:color w:val="auto"/>
          <w:sz w:val="22"/>
          <w:lang w:val="en-US"/>
        </w:rPr>
      </w:pPr>
      <w:hyperlink w:anchor="_Toc48230338" w:history="1">
        <w:r w:rsidR="008F4696" w:rsidRPr="00013AC2">
          <w:rPr>
            <w:rStyle w:val="Hyperlink"/>
          </w:rPr>
          <w:t>Figure 5</w:t>
        </w:r>
        <w:r w:rsidR="008F4696">
          <w:rPr>
            <w:rFonts w:eastAsiaTheme="minorEastAsia"/>
            <w:color w:val="auto"/>
            <w:sz w:val="22"/>
            <w:lang w:val="en-US"/>
          </w:rPr>
          <w:tab/>
        </w:r>
        <w:r w:rsidR="008F4696" w:rsidRPr="00013AC2">
          <w:rPr>
            <w:rStyle w:val="Hyperlink"/>
          </w:rPr>
          <w:t>Proposed signage</w:t>
        </w:r>
        <w:r w:rsidR="008F4696">
          <w:rPr>
            <w:webHidden/>
          </w:rPr>
          <w:tab/>
        </w:r>
        <w:r w:rsidR="008F4696">
          <w:rPr>
            <w:webHidden/>
          </w:rPr>
          <w:fldChar w:fldCharType="begin"/>
        </w:r>
        <w:r w:rsidR="008F4696">
          <w:rPr>
            <w:webHidden/>
          </w:rPr>
          <w:instrText xml:space="preserve"> PAGEREF _Toc48230338 \h </w:instrText>
        </w:r>
        <w:r w:rsidR="008F4696">
          <w:rPr>
            <w:webHidden/>
          </w:rPr>
        </w:r>
        <w:r w:rsidR="008F4696">
          <w:rPr>
            <w:webHidden/>
          </w:rPr>
          <w:fldChar w:fldCharType="separate"/>
        </w:r>
        <w:r w:rsidR="008F4696">
          <w:rPr>
            <w:webHidden/>
          </w:rPr>
          <w:t>17</w:t>
        </w:r>
        <w:r w:rsidR="008F4696">
          <w:rPr>
            <w:webHidden/>
          </w:rPr>
          <w:fldChar w:fldCharType="end"/>
        </w:r>
      </w:hyperlink>
    </w:p>
    <w:p w14:paraId="5301FDE2" w14:textId="44B4AA41" w:rsidR="008F4696" w:rsidRDefault="00CE4039">
      <w:pPr>
        <w:pStyle w:val="TableofFigures"/>
        <w:rPr>
          <w:rFonts w:eastAsiaTheme="minorEastAsia"/>
          <w:color w:val="auto"/>
          <w:sz w:val="22"/>
          <w:lang w:val="en-US"/>
        </w:rPr>
      </w:pPr>
      <w:hyperlink w:anchor="_Toc48230339" w:history="1">
        <w:r w:rsidR="008F4696" w:rsidRPr="00013AC2">
          <w:rPr>
            <w:rStyle w:val="Hyperlink"/>
          </w:rPr>
          <w:t>Figure 6</w:t>
        </w:r>
        <w:r w:rsidR="008F4696">
          <w:rPr>
            <w:rFonts w:eastAsiaTheme="minorEastAsia"/>
            <w:color w:val="auto"/>
            <w:sz w:val="22"/>
            <w:lang w:val="en-US"/>
          </w:rPr>
          <w:tab/>
        </w:r>
        <w:r w:rsidR="008F4696" w:rsidRPr="00013AC2">
          <w:rPr>
            <w:rStyle w:val="Hyperlink"/>
          </w:rPr>
          <w:t>LEP height controls</w:t>
        </w:r>
        <w:r w:rsidR="008F4696">
          <w:rPr>
            <w:webHidden/>
          </w:rPr>
          <w:tab/>
        </w:r>
        <w:r w:rsidR="008F4696">
          <w:rPr>
            <w:webHidden/>
          </w:rPr>
          <w:fldChar w:fldCharType="begin"/>
        </w:r>
        <w:r w:rsidR="008F4696">
          <w:rPr>
            <w:webHidden/>
          </w:rPr>
          <w:instrText xml:space="preserve"> PAGEREF _Toc48230339 \h </w:instrText>
        </w:r>
        <w:r w:rsidR="008F4696">
          <w:rPr>
            <w:webHidden/>
          </w:rPr>
        </w:r>
        <w:r w:rsidR="008F4696">
          <w:rPr>
            <w:webHidden/>
          </w:rPr>
          <w:fldChar w:fldCharType="separate"/>
        </w:r>
        <w:r w:rsidR="008F4696">
          <w:rPr>
            <w:webHidden/>
          </w:rPr>
          <w:t>21</w:t>
        </w:r>
        <w:r w:rsidR="008F4696">
          <w:rPr>
            <w:webHidden/>
          </w:rPr>
          <w:fldChar w:fldCharType="end"/>
        </w:r>
      </w:hyperlink>
    </w:p>
    <w:p w14:paraId="0E75AE22" w14:textId="3C866CE4" w:rsidR="008F4696" w:rsidRDefault="00CE4039">
      <w:pPr>
        <w:pStyle w:val="TableofFigures"/>
        <w:rPr>
          <w:rFonts w:eastAsiaTheme="minorEastAsia"/>
          <w:color w:val="auto"/>
          <w:sz w:val="22"/>
          <w:lang w:val="en-US"/>
        </w:rPr>
      </w:pPr>
      <w:hyperlink w:anchor="_Toc48230340" w:history="1">
        <w:r w:rsidR="008F4696" w:rsidRPr="00013AC2">
          <w:rPr>
            <w:rStyle w:val="Hyperlink"/>
          </w:rPr>
          <w:t>Figure 7</w:t>
        </w:r>
        <w:r w:rsidR="008F4696">
          <w:rPr>
            <w:rFonts w:eastAsiaTheme="minorEastAsia"/>
            <w:color w:val="auto"/>
            <w:sz w:val="22"/>
            <w:lang w:val="en-US"/>
          </w:rPr>
          <w:tab/>
        </w:r>
        <w:r w:rsidR="008F4696" w:rsidRPr="00013AC2">
          <w:rPr>
            <w:rStyle w:val="Hyperlink"/>
          </w:rPr>
          <w:t>Former fire station</w:t>
        </w:r>
        <w:r w:rsidR="008F4696">
          <w:rPr>
            <w:webHidden/>
          </w:rPr>
          <w:tab/>
        </w:r>
        <w:r w:rsidR="008F4696">
          <w:rPr>
            <w:webHidden/>
          </w:rPr>
          <w:fldChar w:fldCharType="begin"/>
        </w:r>
        <w:r w:rsidR="008F4696">
          <w:rPr>
            <w:webHidden/>
          </w:rPr>
          <w:instrText xml:space="preserve"> PAGEREF _Toc48230340 \h </w:instrText>
        </w:r>
        <w:r w:rsidR="008F4696">
          <w:rPr>
            <w:webHidden/>
          </w:rPr>
        </w:r>
        <w:r w:rsidR="008F4696">
          <w:rPr>
            <w:webHidden/>
          </w:rPr>
          <w:fldChar w:fldCharType="separate"/>
        </w:r>
        <w:r w:rsidR="008F4696">
          <w:rPr>
            <w:webHidden/>
          </w:rPr>
          <w:t>24</w:t>
        </w:r>
        <w:r w:rsidR="008F4696">
          <w:rPr>
            <w:webHidden/>
          </w:rPr>
          <w:fldChar w:fldCharType="end"/>
        </w:r>
      </w:hyperlink>
    </w:p>
    <w:p w14:paraId="53A5F876" w14:textId="41B8289C" w:rsidR="008F4696" w:rsidRDefault="00CE4039">
      <w:pPr>
        <w:pStyle w:val="TableofFigures"/>
        <w:rPr>
          <w:rFonts w:eastAsiaTheme="minorEastAsia"/>
          <w:color w:val="auto"/>
          <w:sz w:val="22"/>
          <w:lang w:val="en-US"/>
        </w:rPr>
      </w:pPr>
      <w:hyperlink w:anchor="_Toc48230341" w:history="1">
        <w:r w:rsidR="008F4696" w:rsidRPr="00013AC2">
          <w:rPr>
            <w:rStyle w:val="Hyperlink"/>
          </w:rPr>
          <w:t>Figure 8</w:t>
        </w:r>
        <w:r w:rsidR="008F4696">
          <w:rPr>
            <w:rFonts w:eastAsiaTheme="minorEastAsia"/>
            <w:color w:val="auto"/>
            <w:sz w:val="22"/>
            <w:lang w:val="en-US"/>
          </w:rPr>
          <w:tab/>
        </w:r>
        <w:r w:rsidR="008F4696" w:rsidRPr="00013AC2">
          <w:rPr>
            <w:rStyle w:val="Hyperlink"/>
          </w:rPr>
          <w:t>Basement plan and stormwater main location</w:t>
        </w:r>
        <w:r w:rsidR="008F4696">
          <w:rPr>
            <w:webHidden/>
          </w:rPr>
          <w:tab/>
        </w:r>
        <w:r w:rsidR="008F4696">
          <w:rPr>
            <w:webHidden/>
          </w:rPr>
          <w:fldChar w:fldCharType="begin"/>
        </w:r>
        <w:r w:rsidR="008F4696">
          <w:rPr>
            <w:webHidden/>
          </w:rPr>
          <w:instrText xml:space="preserve"> PAGEREF _Toc48230341 \h </w:instrText>
        </w:r>
        <w:r w:rsidR="008F4696">
          <w:rPr>
            <w:webHidden/>
          </w:rPr>
        </w:r>
        <w:r w:rsidR="008F4696">
          <w:rPr>
            <w:webHidden/>
          </w:rPr>
          <w:fldChar w:fldCharType="separate"/>
        </w:r>
        <w:r w:rsidR="008F4696">
          <w:rPr>
            <w:webHidden/>
          </w:rPr>
          <w:t>25</w:t>
        </w:r>
        <w:r w:rsidR="008F4696">
          <w:rPr>
            <w:webHidden/>
          </w:rPr>
          <w:fldChar w:fldCharType="end"/>
        </w:r>
      </w:hyperlink>
    </w:p>
    <w:p w14:paraId="2139A3DB" w14:textId="0EA18B5B" w:rsidR="008F4696" w:rsidRDefault="00CE4039">
      <w:pPr>
        <w:pStyle w:val="TableofFigures"/>
        <w:rPr>
          <w:rFonts w:eastAsiaTheme="minorEastAsia"/>
          <w:color w:val="auto"/>
          <w:sz w:val="22"/>
          <w:lang w:val="en-US"/>
        </w:rPr>
      </w:pPr>
      <w:hyperlink w:anchor="_Toc48230342" w:history="1">
        <w:r w:rsidR="008F4696" w:rsidRPr="00013AC2">
          <w:rPr>
            <w:rStyle w:val="Hyperlink"/>
          </w:rPr>
          <w:t>Figure 9</w:t>
        </w:r>
        <w:r w:rsidR="008F4696">
          <w:rPr>
            <w:rFonts w:eastAsiaTheme="minorEastAsia"/>
            <w:color w:val="auto"/>
            <w:sz w:val="22"/>
            <w:lang w:val="en-US"/>
          </w:rPr>
          <w:tab/>
        </w:r>
        <w:r w:rsidR="008F4696" w:rsidRPr="00013AC2">
          <w:rPr>
            <w:rStyle w:val="Hyperlink"/>
          </w:rPr>
          <w:t>Civic Square landscape plan</w:t>
        </w:r>
        <w:r w:rsidR="008F4696">
          <w:rPr>
            <w:webHidden/>
          </w:rPr>
          <w:tab/>
        </w:r>
        <w:r w:rsidR="008F4696">
          <w:rPr>
            <w:webHidden/>
          </w:rPr>
          <w:fldChar w:fldCharType="begin"/>
        </w:r>
        <w:r w:rsidR="008F4696">
          <w:rPr>
            <w:webHidden/>
          </w:rPr>
          <w:instrText xml:space="preserve"> PAGEREF _Toc48230342 \h </w:instrText>
        </w:r>
        <w:r w:rsidR="008F4696">
          <w:rPr>
            <w:webHidden/>
          </w:rPr>
        </w:r>
        <w:r w:rsidR="008F4696">
          <w:rPr>
            <w:webHidden/>
          </w:rPr>
          <w:fldChar w:fldCharType="separate"/>
        </w:r>
        <w:r w:rsidR="008F4696">
          <w:rPr>
            <w:webHidden/>
          </w:rPr>
          <w:t>28</w:t>
        </w:r>
        <w:r w:rsidR="008F4696">
          <w:rPr>
            <w:webHidden/>
          </w:rPr>
          <w:fldChar w:fldCharType="end"/>
        </w:r>
      </w:hyperlink>
    </w:p>
    <w:p w14:paraId="27CBA735" w14:textId="33CB7CB9" w:rsidR="001A531B" w:rsidRDefault="00A11BBA" w:rsidP="001A531B">
      <w:pPr>
        <w:rPr>
          <w:noProof/>
        </w:rPr>
      </w:pPr>
      <w:r>
        <w:rPr>
          <w:noProof/>
        </w:rPr>
        <w:fldChar w:fldCharType="end"/>
      </w:r>
    </w:p>
    <w:p w14:paraId="4ADA5952" w14:textId="77777777" w:rsidR="00DF4D10" w:rsidRDefault="00DF4D10" w:rsidP="006D2FD7">
      <w:pPr>
        <w:pStyle w:val="TOCHeading2"/>
      </w:pPr>
      <w:r>
        <w:t>Tables</w:t>
      </w:r>
    </w:p>
    <w:p w14:paraId="24EC7207" w14:textId="55DB1BAB" w:rsidR="008F4696" w:rsidRDefault="00FE5306">
      <w:pPr>
        <w:pStyle w:val="TableofFigures"/>
        <w:rPr>
          <w:rFonts w:eastAsiaTheme="minorEastAsia"/>
          <w:color w:val="auto"/>
          <w:sz w:val="22"/>
          <w:lang w:val="en-US"/>
        </w:rPr>
      </w:pPr>
      <w:r>
        <w:rPr>
          <w:b/>
          <w:bCs/>
          <w:lang w:val="en-US"/>
        </w:rPr>
        <w:fldChar w:fldCharType="begin"/>
      </w:r>
      <w:r>
        <w:rPr>
          <w:b/>
          <w:bCs/>
          <w:lang w:val="en-US"/>
        </w:rPr>
        <w:instrText xml:space="preserve"> TOC \h \z \t "Table Caption" \c </w:instrText>
      </w:r>
      <w:r>
        <w:rPr>
          <w:b/>
          <w:bCs/>
          <w:lang w:val="en-US"/>
        </w:rPr>
        <w:fldChar w:fldCharType="separate"/>
      </w:r>
      <w:hyperlink w:anchor="_Toc48230343" w:history="1">
        <w:r w:rsidR="008F4696" w:rsidRPr="00A93072">
          <w:rPr>
            <w:rStyle w:val="Hyperlink"/>
          </w:rPr>
          <w:t>Table 1</w:t>
        </w:r>
        <w:r w:rsidR="008F4696">
          <w:rPr>
            <w:rFonts w:eastAsiaTheme="minorEastAsia"/>
            <w:color w:val="auto"/>
            <w:sz w:val="22"/>
            <w:lang w:val="en-US"/>
          </w:rPr>
          <w:tab/>
        </w:r>
        <w:r w:rsidR="008F4696" w:rsidRPr="00A93072">
          <w:rPr>
            <w:rStyle w:val="Hyperlink"/>
          </w:rPr>
          <w:t>Existing development at subject site</w:t>
        </w:r>
        <w:r w:rsidR="008F4696">
          <w:rPr>
            <w:webHidden/>
          </w:rPr>
          <w:tab/>
        </w:r>
        <w:r w:rsidR="008F4696">
          <w:rPr>
            <w:webHidden/>
          </w:rPr>
          <w:fldChar w:fldCharType="begin"/>
        </w:r>
        <w:r w:rsidR="008F4696">
          <w:rPr>
            <w:webHidden/>
          </w:rPr>
          <w:instrText xml:space="preserve"> PAGEREF _Toc48230343 \h </w:instrText>
        </w:r>
        <w:r w:rsidR="008F4696">
          <w:rPr>
            <w:webHidden/>
          </w:rPr>
        </w:r>
        <w:r w:rsidR="008F4696">
          <w:rPr>
            <w:webHidden/>
          </w:rPr>
          <w:fldChar w:fldCharType="separate"/>
        </w:r>
        <w:r w:rsidR="008F4696">
          <w:rPr>
            <w:webHidden/>
          </w:rPr>
          <w:t>8</w:t>
        </w:r>
        <w:r w:rsidR="008F4696">
          <w:rPr>
            <w:webHidden/>
          </w:rPr>
          <w:fldChar w:fldCharType="end"/>
        </w:r>
      </w:hyperlink>
    </w:p>
    <w:p w14:paraId="1DDF2E97" w14:textId="2508E1CA" w:rsidR="008F4696" w:rsidRDefault="00CE4039">
      <w:pPr>
        <w:pStyle w:val="TableofFigures"/>
        <w:rPr>
          <w:rFonts w:eastAsiaTheme="minorEastAsia"/>
          <w:color w:val="auto"/>
          <w:sz w:val="22"/>
          <w:lang w:val="en-US"/>
        </w:rPr>
      </w:pPr>
      <w:hyperlink w:anchor="_Toc48230344" w:history="1">
        <w:r w:rsidR="008F4696" w:rsidRPr="00A93072">
          <w:rPr>
            <w:rStyle w:val="Hyperlink"/>
          </w:rPr>
          <w:t>Table 2</w:t>
        </w:r>
        <w:r w:rsidR="008F4696">
          <w:rPr>
            <w:rFonts w:eastAsiaTheme="minorEastAsia"/>
            <w:color w:val="auto"/>
            <w:sz w:val="22"/>
            <w:lang w:val="en-US"/>
          </w:rPr>
          <w:tab/>
        </w:r>
        <w:r w:rsidR="008F4696" w:rsidRPr="00A93072">
          <w:rPr>
            <w:rStyle w:val="Hyperlink"/>
          </w:rPr>
          <w:t>Internal Referrals</w:t>
        </w:r>
        <w:r w:rsidR="008F4696">
          <w:rPr>
            <w:webHidden/>
          </w:rPr>
          <w:tab/>
        </w:r>
        <w:r w:rsidR="008F4696">
          <w:rPr>
            <w:webHidden/>
          </w:rPr>
          <w:fldChar w:fldCharType="begin"/>
        </w:r>
        <w:r w:rsidR="008F4696">
          <w:rPr>
            <w:webHidden/>
          </w:rPr>
          <w:instrText xml:space="preserve"> PAGEREF _Toc48230344 \h </w:instrText>
        </w:r>
        <w:r w:rsidR="008F4696">
          <w:rPr>
            <w:webHidden/>
          </w:rPr>
        </w:r>
        <w:r w:rsidR="008F4696">
          <w:rPr>
            <w:webHidden/>
          </w:rPr>
          <w:fldChar w:fldCharType="separate"/>
        </w:r>
        <w:r w:rsidR="008F4696">
          <w:rPr>
            <w:webHidden/>
          </w:rPr>
          <w:t>11</w:t>
        </w:r>
        <w:r w:rsidR="008F4696">
          <w:rPr>
            <w:webHidden/>
          </w:rPr>
          <w:fldChar w:fldCharType="end"/>
        </w:r>
      </w:hyperlink>
    </w:p>
    <w:p w14:paraId="160B2B9A" w14:textId="0204A686" w:rsidR="008F4696" w:rsidRDefault="00CE4039">
      <w:pPr>
        <w:pStyle w:val="TableofFigures"/>
        <w:rPr>
          <w:rFonts w:eastAsiaTheme="minorEastAsia"/>
          <w:color w:val="auto"/>
          <w:sz w:val="22"/>
          <w:lang w:val="en-US"/>
        </w:rPr>
      </w:pPr>
      <w:hyperlink w:anchor="_Toc48230345" w:history="1">
        <w:r w:rsidR="008F4696" w:rsidRPr="00A93072">
          <w:rPr>
            <w:rStyle w:val="Hyperlink"/>
          </w:rPr>
          <w:t>Table 3</w:t>
        </w:r>
        <w:r w:rsidR="008F4696">
          <w:rPr>
            <w:rFonts w:eastAsiaTheme="minorEastAsia"/>
            <w:color w:val="auto"/>
            <w:sz w:val="22"/>
            <w:lang w:val="en-US"/>
          </w:rPr>
          <w:tab/>
        </w:r>
        <w:r w:rsidR="008F4696" w:rsidRPr="00A93072">
          <w:rPr>
            <w:rStyle w:val="Hyperlink"/>
          </w:rPr>
          <w:t>External Referrals</w:t>
        </w:r>
        <w:r w:rsidR="008F4696">
          <w:rPr>
            <w:webHidden/>
          </w:rPr>
          <w:tab/>
        </w:r>
        <w:r w:rsidR="008F4696">
          <w:rPr>
            <w:webHidden/>
          </w:rPr>
          <w:fldChar w:fldCharType="begin"/>
        </w:r>
        <w:r w:rsidR="008F4696">
          <w:rPr>
            <w:webHidden/>
          </w:rPr>
          <w:instrText xml:space="preserve"> PAGEREF _Toc48230345 \h </w:instrText>
        </w:r>
        <w:r w:rsidR="008F4696">
          <w:rPr>
            <w:webHidden/>
          </w:rPr>
        </w:r>
        <w:r w:rsidR="008F4696">
          <w:rPr>
            <w:webHidden/>
          </w:rPr>
          <w:fldChar w:fldCharType="separate"/>
        </w:r>
        <w:r w:rsidR="008F4696">
          <w:rPr>
            <w:webHidden/>
          </w:rPr>
          <w:t>15</w:t>
        </w:r>
        <w:r w:rsidR="008F4696">
          <w:rPr>
            <w:webHidden/>
          </w:rPr>
          <w:fldChar w:fldCharType="end"/>
        </w:r>
      </w:hyperlink>
    </w:p>
    <w:p w14:paraId="45947721" w14:textId="2D92E8DF" w:rsidR="008F4696" w:rsidRDefault="00CE4039">
      <w:pPr>
        <w:pStyle w:val="TableofFigures"/>
        <w:rPr>
          <w:rFonts w:eastAsiaTheme="minorEastAsia"/>
          <w:color w:val="auto"/>
          <w:sz w:val="22"/>
          <w:lang w:val="en-US"/>
        </w:rPr>
      </w:pPr>
      <w:hyperlink w:anchor="_Toc48230346" w:history="1">
        <w:r w:rsidR="008F4696" w:rsidRPr="00A93072">
          <w:rPr>
            <w:rStyle w:val="Hyperlink"/>
          </w:rPr>
          <w:t>Table 4</w:t>
        </w:r>
        <w:r w:rsidR="008F4696">
          <w:rPr>
            <w:rFonts w:eastAsiaTheme="minorEastAsia"/>
            <w:color w:val="auto"/>
            <w:sz w:val="22"/>
            <w:lang w:val="en-US"/>
          </w:rPr>
          <w:tab/>
        </w:r>
        <w:r w:rsidR="008F4696" w:rsidRPr="00A93072">
          <w:rPr>
            <w:rStyle w:val="Hyperlink"/>
          </w:rPr>
          <w:t>Consistency with SEPP 64</w:t>
        </w:r>
        <w:r w:rsidR="008F4696">
          <w:rPr>
            <w:webHidden/>
          </w:rPr>
          <w:tab/>
        </w:r>
        <w:r w:rsidR="008F4696">
          <w:rPr>
            <w:webHidden/>
          </w:rPr>
          <w:fldChar w:fldCharType="begin"/>
        </w:r>
        <w:r w:rsidR="008F4696">
          <w:rPr>
            <w:webHidden/>
          </w:rPr>
          <w:instrText xml:space="preserve"> PAGEREF _Toc48230346 \h </w:instrText>
        </w:r>
        <w:r w:rsidR="008F4696">
          <w:rPr>
            <w:webHidden/>
          </w:rPr>
        </w:r>
        <w:r w:rsidR="008F4696">
          <w:rPr>
            <w:webHidden/>
          </w:rPr>
          <w:fldChar w:fldCharType="separate"/>
        </w:r>
        <w:r w:rsidR="008F4696">
          <w:rPr>
            <w:webHidden/>
          </w:rPr>
          <w:t>17</w:t>
        </w:r>
        <w:r w:rsidR="008F4696">
          <w:rPr>
            <w:webHidden/>
          </w:rPr>
          <w:fldChar w:fldCharType="end"/>
        </w:r>
      </w:hyperlink>
    </w:p>
    <w:p w14:paraId="6BAB1210" w14:textId="3385A093" w:rsidR="008F4696" w:rsidRDefault="00CE4039">
      <w:pPr>
        <w:pStyle w:val="TableofFigures"/>
        <w:rPr>
          <w:rFonts w:eastAsiaTheme="minorEastAsia"/>
          <w:color w:val="auto"/>
          <w:sz w:val="22"/>
          <w:lang w:val="en-US"/>
        </w:rPr>
      </w:pPr>
      <w:hyperlink w:anchor="_Toc48230347" w:history="1">
        <w:r w:rsidR="008F4696" w:rsidRPr="00A93072">
          <w:rPr>
            <w:rStyle w:val="Hyperlink"/>
          </w:rPr>
          <w:t>Table 5</w:t>
        </w:r>
        <w:r w:rsidR="008F4696">
          <w:rPr>
            <w:rFonts w:eastAsiaTheme="minorEastAsia"/>
            <w:color w:val="auto"/>
            <w:sz w:val="22"/>
            <w:lang w:val="en-US"/>
          </w:rPr>
          <w:tab/>
        </w:r>
        <w:r w:rsidR="008F4696" w:rsidRPr="00A93072">
          <w:rPr>
            <w:rStyle w:val="Hyperlink"/>
          </w:rPr>
          <w:t>QLEP Assessment</w:t>
        </w:r>
        <w:r w:rsidR="008F4696">
          <w:rPr>
            <w:webHidden/>
          </w:rPr>
          <w:tab/>
        </w:r>
        <w:r w:rsidR="008F4696">
          <w:rPr>
            <w:webHidden/>
          </w:rPr>
          <w:fldChar w:fldCharType="begin"/>
        </w:r>
        <w:r w:rsidR="008F4696">
          <w:rPr>
            <w:webHidden/>
          </w:rPr>
          <w:instrText xml:space="preserve"> PAGEREF _Toc48230347 \h </w:instrText>
        </w:r>
        <w:r w:rsidR="008F4696">
          <w:rPr>
            <w:webHidden/>
          </w:rPr>
        </w:r>
        <w:r w:rsidR="008F4696">
          <w:rPr>
            <w:webHidden/>
          </w:rPr>
          <w:fldChar w:fldCharType="separate"/>
        </w:r>
        <w:r w:rsidR="008F4696">
          <w:rPr>
            <w:webHidden/>
          </w:rPr>
          <w:t>20</w:t>
        </w:r>
        <w:r w:rsidR="008F4696">
          <w:rPr>
            <w:webHidden/>
          </w:rPr>
          <w:fldChar w:fldCharType="end"/>
        </w:r>
      </w:hyperlink>
    </w:p>
    <w:p w14:paraId="1CE0F14B" w14:textId="35B8746F" w:rsidR="008F4696" w:rsidRDefault="00CE4039">
      <w:pPr>
        <w:pStyle w:val="TableofFigures"/>
        <w:rPr>
          <w:rFonts w:eastAsiaTheme="minorEastAsia"/>
          <w:color w:val="auto"/>
          <w:sz w:val="22"/>
          <w:lang w:val="en-US"/>
        </w:rPr>
      </w:pPr>
      <w:hyperlink w:anchor="_Toc48230348" w:history="1">
        <w:r w:rsidR="008F4696" w:rsidRPr="00A93072">
          <w:rPr>
            <w:rStyle w:val="Hyperlink"/>
          </w:rPr>
          <w:t>Table 6</w:t>
        </w:r>
        <w:r w:rsidR="008F4696">
          <w:rPr>
            <w:rFonts w:eastAsiaTheme="minorEastAsia"/>
            <w:color w:val="auto"/>
            <w:sz w:val="22"/>
            <w:lang w:val="en-US"/>
          </w:rPr>
          <w:tab/>
        </w:r>
        <w:r w:rsidR="008F4696" w:rsidRPr="00A93072">
          <w:rPr>
            <w:rStyle w:val="Hyperlink"/>
          </w:rPr>
          <w:t>QDCP Assessment</w:t>
        </w:r>
        <w:r w:rsidR="008F4696">
          <w:rPr>
            <w:webHidden/>
          </w:rPr>
          <w:tab/>
        </w:r>
        <w:r w:rsidR="008F4696">
          <w:rPr>
            <w:webHidden/>
          </w:rPr>
          <w:fldChar w:fldCharType="begin"/>
        </w:r>
        <w:r w:rsidR="008F4696">
          <w:rPr>
            <w:webHidden/>
          </w:rPr>
          <w:instrText xml:space="preserve"> PAGEREF _Toc48230348 \h </w:instrText>
        </w:r>
        <w:r w:rsidR="008F4696">
          <w:rPr>
            <w:webHidden/>
          </w:rPr>
        </w:r>
        <w:r w:rsidR="008F4696">
          <w:rPr>
            <w:webHidden/>
          </w:rPr>
          <w:fldChar w:fldCharType="separate"/>
        </w:r>
        <w:r w:rsidR="008F4696">
          <w:rPr>
            <w:webHidden/>
          </w:rPr>
          <w:t>26</w:t>
        </w:r>
        <w:r w:rsidR="008F4696">
          <w:rPr>
            <w:webHidden/>
          </w:rPr>
          <w:fldChar w:fldCharType="end"/>
        </w:r>
      </w:hyperlink>
    </w:p>
    <w:p w14:paraId="7C9578EC" w14:textId="6C38DCAC" w:rsidR="008F4696" w:rsidRDefault="00CE4039">
      <w:pPr>
        <w:pStyle w:val="TableofFigures"/>
        <w:rPr>
          <w:rFonts w:eastAsiaTheme="minorEastAsia"/>
          <w:color w:val="auto"/>
          <w:sz w:val="22"/>
          <w:lang w:val="en-US"/>
        </w:rPr>
      </w:pPr>
      <w:hyperlink w:anchor="_Toc48230349" w:history="1">
        <w:r w:rsidR="008F4696" w:rsidRPr="00A93072">
          <w:rPr>
            <w:rStyle w:val="Hyperlink"/>
          </w:rPr>
          <w:t>Table 7</w:t>
        </w:r>
        <w:r w:rsidR="008F4696">
          <w:rPr>
            <w:rFonts w:eastAsiaTheme="minorEastAsia"/>
            <w:color w:val="auto"/>
            <w:sz w:val="22"/>
            <w:lang w:val="en-US"/>
          </w:rPr>
          <w:tab/>
        </w:r>
        <w:r w:rsidR="008F4696" w:rsidRPr="00A93072">
          <w:rPr>
            <w:rStyle w:val="Hyperlink"/>
          </w:rPr>
          <w:t>QDCP Assessment</w:t>
        </w:r>
        <w:r w:rsidR="008F4696">
          <w:rPr>
            <w:webHidden/>
          </w:rPr>
          <w:tab/>
        </w:r>
        <w:r w:rsidR="008F4696">
          <w:rPr>
            <w:webHidden/>
          </w:rPr>
          <w:fldChar w:fldCharType="begin"/>
        </w:r>
        <w:r w:rsidR="008F4696">
          <w:rPr>
            <w:webHidden/>
          </w:rPr>
          <w:instrText xml:space="preserve"> PAGEREF _Toc48230349 \h </w:instrText>
        </w:r>
        <w:r w:rsidR="008F4696">
          <w:rPr>
            <w:webHidden/>
          </w:rPr>
        </w:r>
        <w:r w:rsidR="008F4696">
          <w:rPr>
            <w:webHidden/>
          </w:rPr>
          <w:fldChar w:fldCharType="separate"/>
        </w:r>
        <w:r w:rsidR="008F4696">
          <w:rPr>
            <w:webHidden/>
          </w:rPr>
          <w:t>35</w:t>
        </w:r>
        <w:r w:rsidR="008F4696">
          <w:rPr>
            <w:webHidden/>
          </w:rPr>
          <w:fldChar w:fldCharType="end"/>
        </w:r>
      </w:hyperlink>
    </w:p>
    <w:p w14:paraId="35A17A0D" w14:textId="518636AD" w:rsidR="001A531B" w:rsidRDefault="00FE5306" w:rsidP="001A531B">
      <w:pPr>
        <w:rPr>
          <w:noProof/>
          <w:lang w:val="en-US"/>
        </w:rPr>
      </w:pPr>
      <w:r>
        <w:rPr>
          <w:b/>
          <w:bCs/>
          <w:noProof/>
          <w:color w:val="4E4E50" w:themeColor="accent2"/>
          <w:sz w:val="19"/>
          <w:lang w:val="en-US"/>
        </w:rPr>
        <w:fldChar w:fldCharType="end"/>
      </w:r>
    </w:p>
    <w:p w14:paraId="0ED427B5" w14:textId="77777777" w:rsidR="00DF4D10" w:rsidRDefault="006D2FD7" w:rsidP="006D2FD7">
      <w:pPr>
        <w:pStyle w:val="TOCHeading2"/>
        <w:rPr>
          <w:noProof/>
          <w:lang w:val="en-US"/>
        </w:rPr>
      </w:pPr>
      <w:r>
        <w:rPr>
          <w:noProof/>
          <w:lang w:val="en-US"/>
        </w:rPr>
        <w:t>Appendices</w:t>
      </w:r>
    </w:p>
    <w:p w14:paraId="0A44106E" w14:textId="18389415" w:rsidR="008F4696" w:rsidRDefault="005316B9">
      <w:pPr>
        <w:pStyle w:val="TOC5"/>
        <w:rPr>
          <w:rFonts w:eastAsiaTheme="minorEastAsia"/>
          <w:noProof/>
          <w:color w:val="auto"/>
          <w:sz w:val="22"/>
          <w:lang w:val="en-US"/>
        </w:rPr>
      </w:pPr>
      <w:r>
        <w:rPr>
          <w:b/>
          <w:bCs/>
          <w:noProof/>
          <w:lang w:val="en-US"/>
        </w:rPr>
        <w:fldChar w:fldCharType="begin"/>
      </w:r>
      <w:r>
        <w:rPr>
          <w:b/>
          <w:bCs/>
          <w:noProof/>
          <w:lang w:val="en-US"/>
        </w:rPr>
        <w:instrText xml:space="preserve"> TOC \h \z \t "App Heading 1,</w:instrText>
      </w:r>
      <w:r w:rsidR="00DA259D">
        <w:rPr>
          <w:b/>
          <w:bCs/>
          <w:noProof/>
          <w:lang w:val="en-US"/>
        </w:rPr>
        <w:instrText>5</w:instrText>
      </w:r>
      <w:r>
        <w:rPr>
          <w:b/>
          <w:bCs/>
          <w:noProof/>
          <w:lang w:val="en-US"/>
        </w:rPr>
        <w:instrText xml:space="preserve">" </w:instrText>
      </w:r>
      <w:r>
        <w:rPr>
          <w:b/>
          <w:bCs/>
          <w:noProof/>
          <w:lang w:val="en-US"/>
        </w:rPr>
        <w:fldChar w:fldCharType="separate"/>
      </w:r>
    </w:p>
    <w:p w14:paraId="703705A7" w14:textId="7F430BC7" w:rsidR="008F4696" w:rsidRDefault="00CE4039">
      <w:pPr>
        <w:pStyle w:val="TOC5"/>
        <w:rPr>
          <w:rFonts w:eastAsiaTheme="minorEastAsia"/>
          <w:noProof/>
          <w:color w:val="auto"/>
          <w:sz w:val="22"/>
          <w:lang w:val="en-US"/>
        </w:rPr>
      </w:pPr>
      <w:hyperlink w:anchor="_Toc48230329" w:history="1">
        <w:r w:rsidR="008525E7">
          <w:rPr>
            <w:rStyle w:val="Hyperlink"/>
            <w:noProof/>
          </w:rPr>
          <w:t>A</w:t>
        </w:r>
        <w:r w:rsidR="008F4696">
          <w:rPr>
            <w:rFonts w:eastAsiaTheme="minorEastAsia"/>
            <w:noProof/>
            <w:color w:val="auto"/>
            <w:sz w:val="22"/>
            <w:lang w:val="en-US"/>
          </w:rPr>
          <w:tab/>
        </w:r>
        <w:r w:rsidR="008F4696" w:rsidRPr="00B95B04">
          <w:rPr>
            <w:rStyle w:val="Hyperlink"/>
            <w:noProof/>
          </w:rPr>
          <w:t>DCP Compliance Assessment</w:t>
        </w:r>
        <w:r w:rsidR="008F4696">
          <w:rPr>
            <w:noProof/>
            <w:webHidden/>
          </w:rPr>
          <w:tab/>
        </w:r>
        <w:r w:rsidR="008F4696">
          <w:rPr>
            <w:noProof/>
            <w:webHidden/>
          </w:rPr>
          <w:fldChar w:fldCharType="begin"/>
        </w:r>
        <w:r w:rsidR="008F4696">
          <w:rPr>
            <w:noProof/>
            <w:webHidden/>
          </w:rPr>
          <w:instrText xml:space="preserve"> PAGEREF _Toc48230329 \h </w:instrText>
        </w:r>
        <w:r w:rsidR="008F4696">
          <w:rPr>
            <w:noProof/>
            <w:webHidden/>
          </w:rPr>
        </w:r>
        <w:r w:rsidR="008F4696">
          <w:rPr>
            <w:noProof/>
            <w:webHidden/>
          </w:rPr>
          <w:fldChar w:fldCharType="separate"/>
        </w:r>
        <w:r w:rsidR="008F4696">
          <w:rPr>
            <w:noProof/>
            <w:webHidden/>
          </w:rPr>
          <w:t>40</w:t>
        </w:r>
        <w:r w:rsidR="008F4696">
          <w:rPr>
            <w:noProof/>
            <w:webHidden/>
          </w:rPr>
          <w:fldChar w:fldCharType="end"/>
        </w:r>
      </w:hyperlink>
    </w:p>
    <w:p w14:paraId="09E0D2A1" w14:textId="07D57EC7" w:rsidR="008F4696" w:rsidRDefault="00CE4039">
      <w:pPr>
        <w:pStyle w:val="TOC5"/>
        <w:rPr>
          <w:rFonts w:eastAsiaTheme="minorEastAsia"/>
          <w:noProof/>
          <w:color w:val="auto"/>
          <w:sz w:val="22"/>
          <w:lang w:val="en-US"/>
        </w:rPr>
      </w:pPr>
      <w:hyperlink w:anchor="_Toc48230330" w:history="1">
        <w:r w:rsidR="007C0E93">
          <w:rPr>
            <w:rStyle w:val="Hyperlink"/>
            <w:noProof/>
          </w:rPr>
          <w:t>B</w:t>
        </w:r>
        <w:r w:rsidR="008F4696">
          <w:rPr>
            <w:rFonts w:eastAsiaTheme="minorEastAsia"/>
            <w:noProof/>
            <w:color w:val="auto"/>
            <w:sz w:val="22"/>
            <w:lang w:val="en-US"/>
          </w:rPr>
          <w:tab/>
        </w:r>
        <w:r w:rsidR="008F4696" w:rsidRPr="00B95B04">
          <w:rPr>
            <w:rStyle w:val="Hyperlink"/>
            <w:noProof/>
          </w:rPr>
          <w:t>Draft Conditions of Consent</w:t>
        </w:r>
        <w:r w:rsidR="008F4696">
          <w:rPr>
            <w:noProof/>
            <w:webHidden/>
          </w:rPr>
          <w:tab/>
        </w:r>
        <w:r w:rsidR="008F4696">
          <w:rPr>
            <w:noProof/>
            <w:webHidden/>
          </w:rPr>
          <w:fldChar w:fldCharType="begin"/>
        </w:r>
        <w:r w:rsidR="008F4696">
          <w:rPr>
            <w:noProof/>
            <w:webHidden/>
          </w:rPr>
          <w:instrText xml:space="preserve"> PAGEREF _Toc48230330 \h </w:instrText>
        </w:r>
        <w:r w:rsidR="008F4696">
          <w:rPr>
            <w:noProof/>
            <w:webHidden/>
          </w:rPr>
        </w:r>
        <w:r w:rsidR="008F4696">
          <w:rPr>
            <w:noProof/>
            <w:webHidden/>
          </w:rPr>
          <w:fldChar w:fldCharType="separate"/>
        </w:r>
        <w:r w:rsidR="008F4696">
          <w:rPr>
            <w:noProof/>
            <w:webHidden/>
          </w:rPr>
          <w:t>41</w:t>
        </w:r>
        <w:r w:rsidR="008F4696">
          <w:rPr>
            <w:noProof/>
            <w:webHidden/>
          </w:rPr>
          <w:fldChar w:fldCharType="end"/>
        </w:r>
      </w:hyperlink>
    </w:p>
    <w:p w14:paraId="7C03FC34" w14:textId="15416ECB" w:rsidR="006D2FD7" w:rsidRPr="001A531B" w:rsidRDefault="005316B9" w:rsidP="006D2FD7">
      <w:r>
        <w:rPr>
          <w:b/>
          <w:bCs/>
          <w:noProof/>
          <w:color w:val="4E4E50" w:themeColor="accent2"/>
          <w:sz w:val="19"/>
          <w:lang w:val="en-US"/>
        </w:rPr>
        <w:fldChar w:fldCharType="end"/>
      </w:r>
    </w:p>
    <w:p w14:paraId="3FEF5299" w14:textId="77777777" w:rsidR="00DF4D10" w:rsidRDefault="00DF4D10">
      <w:pPr>
        <w:spacing w:before="80" w:after="80"/>
      </w:pPr>
      <w:r>
        <w:br w:type="page"/>
      </w:r>
    </w:p>
    <w:p w14:paraId="140186E5" w14:textId="0D98C08D" w:rsidR="001C65AF" w:rsidRDefault="00551ECE" w:rsidP="0071072A">
      <w:pPr>
        <w:pStyle w:val="Heading1"/>
        <w:numPr>
          <w:ilvl w:val="0"/>
          <w:numId w:val="20"/>
        </w:numPr>
      </w:pPr>
      <w:bookmarkStart w:id="0" w:name="_Toc48230297"/>
      <w:r>
        <w:lastRenderedPageBreak/>
        <w:t>Executive Summary and Recommendation</w:t>
      </w:r>
      <w:bookmarkEnd w:id="0"/>
    </w:p>
    <w:p w14:paraId="28DD700A" w14:textId="00FFF397" w:rsidR="00AE3B12" w:rsidRDefault="006C62FB" w:rsidP="006C62FB">
      <w:pPr>
        <w:pStyle w:val="BodyText"/>
      </w:pPr>
      <w:r>
        <w:t>Elton Consulting has been commissioned by the Queanbeyan</w:t>
      </w:r>
      <w:r w:rsidR="0088750F">
        <w:t>-</w:t>
      </w:r>
      <w:r>
        <w:t>Palerang Regional Council</w:t>
      </w:r>
      <w:r w:rsidR="00420A9C">
        <w:t xml:space="preserve"> (Council)</w:t>
      </w:r>
      <w:r>
        <w:t xml:space="preserve"> to undertake an assessment of the Development Application (DA) for a </w:t>
      </w:r>
      <w:r w:rsidR="00AE3B12">
        <w:t>civic and cultural precinct in Queanbeyan.</w:t>
      </w:r>
    </w:p>
    <w:p w14:paraId="3129A35D" w14:textId="3E642B02" w:rsidR="00AE3B12" w:rsidRPr="00047AC5" w:rsidRDefault="00AE3B12" w:rsidP="00AE3B12">
      <w:pPr>
        <w:pStyle w:val="BodyText"/>
      </w:pPr>
      <w:r>
        <w:t xml:space="preserve">The development is categorised as regionally significant development under the </w:t>
      </w:r>
      <w:r w:rsidRPr="00377C07">
        <w:rPr>
          <w:i/>
          <w:iCs/>
        </w:rPr>
        <w:t xml:space="preserve">State Environmental Planning Policy (State and Regional Development) 2011 </w:t>
      </w:r>
      <w:r w:rsidRPr="00047AC5">
        <w:t>(SRD SEPP)</w:t>
      </w:r>
      <w:r>
        <w:t xml:space="preserve">. </w:t>
      </w:r>
      <w:r w:rsidRPr="00047AC5">
        <w:t xml:space="preserve">Schedule 7 of the SRD SEPP provides that any </w:t>
      </w:r>
      <w:r w:rsidR="00540FDE">
        <w:t xml:space="preserve">development </w:t>
      </w:r>
      <w:r w:rsidR="00D24769">
        <w:t>where Council is the applicant and has</w:t>
      </w:r>
      <w:r w:rsidR="00540FDE">
        <w:t xml:space="preserve"> a Capital Investment V</w:t>
      </w:r>
      <w:r w:rsidRPr="00047AC5">
        <w:t>alue</w:t>
      </w:r>
      <w:r w:rsidR="00540FDE">
        <w:t xml:space="preserve"> (CIV)</w:t>
      </w:r>
      <w:r w:rsidRPr="00047AC5">
        <w:t xml:space="preserve"> of more than $5 million</w:t>
      </w:r>
      <w:r w:rsidR="00D24769">
        <w:t xml:space="preserve"> </w:t>
      </w:r>
      <w:r w:rsidRPr="00047AC5">
        <w:t xml:space="preserve">is to be determined by the </w:t>
      </w:r>
      <w:r w:rsidR="00D24769">
        <w:t xml:space="preserve">relevant planning panel, in this instance, the </w:t>
      </w:r>
      <w:r w:rsidR="00540FDE">
        <w:t xml:space="preserve">Southern </w:t>
      </w:r>
      <w:r w:rsidR="00540FDE" w:rsidRPr="006C62FB">
        <w:t>Regional Planning Panel</w:t>
      </w:r>
      <w:r w:rsidR="00157C71">
        <w:t xml:space="preserve"> (SRPP)</w:t>
      </w:r>
      <w:r w:rsidR="00D24769">
        <w:t xml:space="preserve"> (</w:t>
      </w:r>
      <w:r w:rsidR="00D24769" w:rsidRPr="006C62FB">
        <w:t>refer to Schedule 4A(4) of the E</w:t>
      </w:r>
      <w:r w:rsidR="00D24769">
        <w:t>P&amp;A Act).</w:t>
      </w:r>
    </w:p>
    <w:p w14:paraId="381F972C" w14:textId="558FFF32" w:rsidR="006C62FB" w:rsidRDefault="006C62FB" w:rsidP="006C62FB">
      <w:pPr>
        <w:pStyle w:val="BodyText"/>
      </w:pPr>
      <w:r>
        <w:t>The assessment</w:t>
      </w:r>
      <w:r w:rsidR="00420A9C">
        <w:t xml:space="preserve"> has been prepared pursuant to s</w:t>
      </w:r>
      <w:r>
        <w:t xml:space="preserve">ection </w:t>
      </w:r>
      <w:r w:rsidR="00420A9C">
        <w:t>4.1</w:t>
      </w:r>
      <w:r w:rsidR="00AE3B12">
        <w:t>5</w:t>
      </w:r>
      <w:r>
        <w:t xml:space="preserve"> of the </w:t>
      </w:r>
      <w:r w:rsidRPr="00377C07">
        <w:rPr>
          <w:i/>
          <w:iCs/>
        </w:rPr>
        <w:t>Environmental Planning and Assessment Act 1979</w:t>
      </w:r>
      <w:r>
        <w:t xml:space="preserve"> (EP&amp;A Act) and provides recommendations for determination of the DA.</w:t>
      </w:r>
    </w:p>
    <w:p w14:paraId="3671F78C" w14:textId="32C0E018" w:rsidR="00AA68EE" w:rsidRPr="00833524" w:rsidRDefault="00AA68EE" w:rsidP="009D1556">
      <w:pPr>
        <w:pStyle w:val="Heading2"/>
      </w:pPr>
      <w:bookmarkStart w:id="1" w:name="_Toc48230298"/>
      <w:r w:rsidRPr="00833524">
        <w:t>Application Description</w:t>
      </w:r>
      <w:bookmarkEnd w:id="1"/>
    </w:p>
    <w:tbl>
      <w:tblPr>
        <w:tblStyle w:val="GreenLinedTable"/>
        <w:tblW w:w="5000" w:type="pct"/>
        <w:tblLook w:val="0680" w:firstRow="0" w:lastRow="0" w:firstColumn="1" w:lastColumn="0" w:noHBand="1" w:noVBand="1"/>
      </w:tblPr>
      <w:tblGrid>
        <w:gridCol w:w="3401"/>
        <w:gridCol w:w="6691"/>
      </w:tblGrid>
      <w:tr w:rsidR="000A1F96" w14:paraId="18348C66" w14:textId="77777777" w:rsidTr="006B2299">
        <w:tc>
          <w:tcPr>
            <w:cnfStyle w:val="001000000000" w:firstRow="0" w:lastRow="0" w:firstColumn="1" w:lastColumn="0" w:oddVBand="0" w:evenVBand="0" w:oddHBand="0" w:evenHBand="0" w:firstRowFirstColumn="0" w:firstRowLastColumn="0" w:lastRowFirstColumn="0" w:lastRowLastColumn="0"/>
            <w:tcW w:w="1685" w:type="pct"/>
          </w:tcPr>
          <w:p w14:paraId="4B446350" w14:textId="61D92904" w:rsidR="000A1F96" w:rsidRDefault="000A1F96" w:rsidP="009D1556">
            <w:pPr>
              <w:pStyle w:val="TableHeadingGrey"/>
            </w:pPr>
            <w:r>
              <w:t>Panel Reference</w:t>
            </w:r>
          </w:p>
        </w:tc>
        <w:tc>
          <w:tcPr>
            <w:tcW w:w="3315" w:type="pct"/>
            <w:shd w:val="clear" w:color="auto" w:fill="auto"/>
          </w:tcPr>
          <w:p w14:paraId="19A2DE3D" w14:textId="370F1A79" w:rsidR="000A1F96" w:rsidRDefault="0088750F" w:rsidP="009D1556">
            <w:pPr>
              <w:pStyle w:val="TableHeadingGrey"/>
              <w:cnfStyle w:val="000000000000" w:firstRow="0" w:lastRow="0" w:firstColumn="0" w:lastColumn="0" w:oddVBand="0" w:evenVBand="0" w:oddHBand="0" w:evenHBand="0" w:firstRowFirstColumn="0" w:firstRowLastColumn="0" w:lastRowFirstColumn="0" w:lastRowLastColumn="0"/>
              <w:rPr>
                <w:b w:val="0"/>
                <w:bCs/>
              </w:rPr>
            </w:pPr>
            <w:r>
              <w:rPr>
                <w:b w:val="0"/>
                <w:bCs/>
              </w:rPr>
              <w:t>PPSSTH-31</w:t>
            </w:r>
          </w:p>
        </w:tc>
      </w:tr>
      <w:tr w:rsidR="009D1556" w14:paraId="5DDDF78D" w14:textId="77777777" w:rsidTr="001C65AF">
        <w:tc>
          <w:tcPr>
            <w:cnfStyle w:val="001000000000" w:firstRow="0" w:lastRow="0" w:firstColumn="1" w:lastColumn="0" w:oddVBand="0" w:evenVBand="0" w:oddHBand="0" w:evenHBand="0" w:firstRowFirstColumn="0" w:firstRowLastColumn="0" w:lastRowFirstColumn="0" w:lastRowLastColumn="0"/>
            <w:tcW w:w="1685" w:type="pct"/>
          </w:tcPr>
          <w:p w14:paraId="61D970F8" w14:textId="393E9082" w:rsidR="009D1556" w:rsidRDefault="009D1556" w:rsidP="009D1556">
            <w:pPr>
              <w:pStyle w:val="TableHeadingGrey"/>
            </w:pPr>
            <w:r>
              <w:t>DA Number</w:t>
            </w:r>
          </w:p>
        </w:tc>
        <w:tc>
          <w:tcPr>
            <w:tcW w:w="3315" w:type="pct"/>
          </w:tcPr>
          <w:p w14:paraId="6DCFB355" w14:textId="2A4D1E03" w:rsidR="009D1556" w:rsidRPr="009D1556" w:rsidRDefault="00AA6A7A" w:rsidP="009D1556">
            <w:pPr>
              <w:pStyle w:val="TableHeadingGrey"/>
              <w:cnfStyle w:val="000000000000" w:firstRow="0" w:lastRow="0" w:firstColumn="0" w:lastColumn="0" w:oddVBand="0" w:evenVBand="0" w:oddHBand="0" w:evenHBand="0" w:firstRowFirstColumn="0" w:firstRowLastColumn="0" w:lastRowFirstColumn="0" w:lastRowLastColumn="0"/>
              <w:rPr>
                <w:b w:val="0"/>
                <w:bCs/>
              </w:rPr>
            </w:pPr>
            <w:r>
              <w:rPr>
                <w:b w:val="0"/>
                <w:bCs/>
              </w:rPr>
              <w:t>DA</w:t>
            </w:r>
            <w:r w:rsidR="009467D5">
              <w:rPr>
                <w:b w:val="0"/>
                <w:bCs/>
              </w:rPr>
              <w:t>.</w:t>
            </w:r>
            <w:r>
              <w:rPr>
                <w:b w:val="0"/>
                <w:bCs/>
              </w:rPr>
              <w:t>2020.1022</w:t>
            </w:r>
          </w:p>
        </w:tc>
      </w:tr>
      <w:tr w:rsidR="009D1556" w14:paraId="4B147816" w14:textId="77777777" w:rsidTr="001C65AF">
        <w:tc>
          <w:tcPr>
            <w:cnfStyle w:val="001000000000" w:firstRow="0" w:lastRow="0" w:firstColumn="1" w:lastColumn="0" w:oddVBand="0" w:evenVBand="0" w:oddHBand="0" w:evenHBand="0" w:firstRowFirstColumn="0" w:firstRowLastColumn="0" w:lastRowFirstColumn="0" w:lastRowLastColumn="0"/>
            <w:tcW w:w="1685" w:type="pct"/>
          </w:tcPr>
          <w:p w14:paraId="276EB564" w14:textId="5569FA16" w:rsidR="009D1556" w:rsidRDefault="009D1556" w:rsidP="009D1556">
            <w:pPr>
              <w:pStyle w:val="TableHeadingGrey"/>
            </w:pPr>
            <w:r>
              <w:t>LGA</w:t>
            </w:r>
          </w:p>
        </w:tc>
        <w:tc>
          <w:tcPr>
            <w:tcW w:w="3315" w:type="pct"/>
          </w:tcPr>
          <w:p w14:paraId="5D3176A6" w14:textId="4E32F3F5" w:rsidR="009D1556" w:rsidRPr="009D1556" w:rsidRDefault="00FA4E2A" w:rsidP="009D1556">
            <w:pPr>
              <w:pStyle w:val="TableHeadingGrey"/>
              <w:cnfStyle w:val="000000000000" w:firstRow="0" w:lastRow="0" w:firstColumn="0" w:lastColumn="0" w:oddVBand="0" w:evenVBand="0" w:oddHBand="0" w:evenHBand="0" w:firstRowFirstColumn="0" w:firstRowLastColumn="0" w:lastRowFirstColumn="0" w:lastRowLastColumn="0"/>
              <w:rPr>
                <w:b w:val="0"/>
                <w:bCs/>
              </w:rPr>
            </w:pPr>
            <w:r>
              <w:rPr>
                <w:b w:val="0"/>
                <w:bCs/>
              </w:rPr>
              <w:t>Queanbeyan-Palerang Regional Council</w:t>
            </w:r>
            <w:r w:rsidR="00933D1B">
              <w:rPr>
                <w:b w:val="0"/>
                <w:bCs/>
              </w:rPr>
              <w:t xml:space="preserve"> (QPRC)</w:t>
            </w:r>
          </w:p>
        </w:tc>
      </w:tr>
      <w:tr w:rsidR="009D1556" w14:paraId="34A9D85B" w14:textId="77777777" w:rsidTr="001C65AF">
        <w:tc>
          <w:tcPr>
            <w:cnfStyle w:val="001000000000" w:firstRow="0" w:lastRow="0" w:firstColumn="1" w:lastColumn="0" w:oddVBand="0" w:evenVBand="0" w:oddHBand="0" w:evenHBand="0" w:firstRowFirstColumn="0" w:firstRowLastColumn="0" w:lastRowFirstColumn="0" w:lastRowLastColumn="0"/>
            <w:tcW w:w="1685" w:type="pct"/>
          </w:tcPr>
          <w:p w14:paraId="6B4FCF70" w14:textId="65907C04" w:rsidR="009D1556" w:rsidRDefault="009D1556" w:rsidP="009D1556">
            <w:pPr>
              <w:pStyle w:val="TableHeadingGrey"/>
            </w:pPr>
            <w:r>
              <w:t>Proposed Development</w:t>
            </w:r>
          </w:p>
        </w:tc>
        <w:tc>
          <w:tcPr>
            <w:tcW w:w="3315" w:type="pct"/>
          </w:tcPr>
          <w:p w14:paraId="2B13F041" w14:textId="77777777" w:rsidR="00CC4ECF" w:rsidRPr="00893B11" w:rsidRDefault="00CC4ECF" w:rsidP="006B2299">
            <w:pPr>
              <w:pStyle w:val="TableBullet"/>
              <w:cnfStyle w:val="000000000000" w:firstRow="0" w:lastRow="0" w:firstColumn="0" w:lastColumn="0" w:oddVBand="0" w:evenVBand="0" w:oddHBand="0" w:evenHBand="0" w:firstRowFirstColumn="0" w:firstRowLastColumn="0" w:lastRowFirstColumn="0" w:lastRowLastColumn="0"/>
            </w:pPr>
            <w:r w:rsidRPr="00893B11">
              <w:t xml:space="preserve">Demolition of an existing substation that serviced the previous Council Administration building at 257 Crawford Street </w:t>
            </w:r>
          </w:p>
          <w:p w14:paraId="36F4C20F" w14:textId="77777777" w:rsidR="00CC4ECF" w:rsidRPr="00893B11" w:rsidRDefault="00CC4ECF" w:rsidP="006B2299">
            <w:pPr>
              <w:pStyle w:val="TableBullet"/>
              <w:cnfStyle w:val="000000000000" w:firstRow="0" w:lastRow="0" w:firstColumn="0" w:lastColumn="0" w:oddVBand="0" w:evenVBand="0" w:oddHBand="0" w:evenHBand="0" w:firstRowFirstColumn="0" w:firstRowLastColumn="0" w:lastRowFirstColumn="0" w:lastRowLastColumn="0"/>
            </w:pPr>
            <w:r w:rsidRPr="00893B11">
              <w:t xml:space="preserve">Decommissioning and removal of existing substation adjacent to the previous Council Administration building </w:t>
            </w:r>
          </w:p>
          <w:p w14:paraId="66C5881F" w14:textId="77777777" w:rsidR="00CC4ECF" w:rsidRPr="00893B11" w:rsidRDefault="00CC4ECF" w:rsidP="006B2299">
            <w:pPr>
              <w:pStyle w:val="TableBullet"/>
              <w:cnfStyle w:val="000000000000" w:firstRow="0" w:lastRow="0" w:firstColumn="0" w:lastColumn="0" w:oddVBand="0" w:evenVBand="0" w:oddHBand="0" w:evenHBand="0" w:firstRowFirstColumn="0" w:firstRowLastColumn="0" w:lastRowFirstColumn="0" w:lastRowLastColumn="0"/>
            </w:pPr>
            <w:r w:rsidRPr="00893B11">
              <w:t xml:space="preserve">Construction of two new substations </w:t>
            </w:r>
          </w:p>
          <w:p w14:paraId="430402D3" w14:textId="77777777" w:rsidR="00CC4ECF" w:rsidRPr="00893B11" w:rsidRDefault="00CC4ECF" w:rsidP="006B2299">
            <w:pPr>
              <w:pStyle w:val="TableBullet"/>
              <w:cnfStyle w:val="000000000000" w:firstRow="0" w:lastRow="0" w:firstColumn="0" w:lastColumn="0" w:oddVBand="0" w:evenVBand="0" w:oddHBand="0" w:evenHBand="0" w:firstRowFirstColumn="0" w:firstRowLastColumn="0" w:lastRowFirstColumn="0" w:lastRowLastColumn="0"/>
            </w:pPr>
            <w:r w:rsidRPr="00893B11">
              <w:t xml:space="preserve">Partial demolition relating to Bicentennial Hall &amp; The Q Foyer / Link </w:t>
            </w:r>
          </w:p>
          <w:p w14:paraId="0BED3245" w14:textId="77777777" w:rsidR="00CC4ECF" w:rsidRPr="00893B11" w:rsidRDefault="00CC4ECF" w:rsidP="006B2299">
            <w:pPr>
              <w:pStyle w:val="TableBullet"/>
              <w:cnfStyle w:val="000000000000" w:firstRow="0" w:lastRow="0" w:firstColumn="0" w:lastColumn="0" w:oddVBand="0" w:evenVBand="0" w:oddHBand="0" w:evenHBand="0" w:firstRowFirstColumn="0" w:firstRowLastColumn="0" w:lastRowFirstColumn="0" w:lastRowLastColumn="0"/>
            </w:pPr>
            <w:r w:rsidRPr="00893B11">
              <w:t xml:space="preserve">Demolition of existing structures and buildings at 10 and 12 Rutledge Street </w:t>
            </w:r>
          </w:p>
          <w:p w14:paraId="25AE3DD6" w14:textId="77777777" w:rsidR="00CC4ECF" w:rsidRPr="00893B11" w:rsidRDefault="00CC4ECF" w:rsidP="006B2299">
            <w:pPr>
              <w:pStyle w:val="TableBullet"/>
              <w:cnfStyle w:val="000000000000" w:firstRow="0" w:lastRow="0" w:firstColumn="0" w:lastColumn="0" w:oddVBand="0" w:evenVBand="0" w:oddHBand="0" w:evenHBand="0" w:firstRowFirstColumn="0" w:firstRowLastColumn="0" w:lastRowFirstColumn="0" w:lastRowLastColumn="0"/>
            </w:pPr>
            <w:r w:rsidRPr="00893B11">
              <w:t xml:space="preserve">Construction of a seven-storey public administration building at 257 Crawford Street (including basement) </w:t>
            </w:r>
          </w:p>
          <w:p w14:paraId="2886FA22" w14:textId="77777777" w:rsidR="00CC4ECF" w:rsidRPr="00893B11" w:rsidRDefault="00CC4ECF" w:rsidP="006B2299">
            <w:pPr>
              <w:pStyle w:val="TableBullet"/>
              <w:cnfStyle w:val="000000000000" w:firstRow="0" w:lastRow="0" w:firstColumn="0" w:lastColumn="0" w:oddVBand="0" w:evenVBand="0" w:oddHBand="0" w:evenHBand="0" w:firstRowFirstColumn="0" w:firstRowLastColumn="0" w:lastRowFirstColumn="0" w:lastRowLastColumn="0"/>
            </w:pPr>
            <w:r w:rsidRPr="00893B11">
              <w:t xml:space="preserve">Establishment of a new service lane from Crawford Street </w:t>
            </w:r>
          </w:p>
          <w:p w14:paraId="5D36B774" w14:textId="77777777" w:rsidR="00CC4ECF" w:rsidRPr="00893B11" w:rsidRDefault="00CC4ECF" w:rsidP="006B2299">
            <w:pPr>
              <w:pStyle w:val="TableBullet"/>
              <w:cnfStyle w:val="000000000000" w:firstRow="0" w:lastRow="0" w:firstColumn="0" w:lastColumn="0" w:oddVBand="0" w:evenVBand="0" w:oddHBand="0" w:evenHBand="0" w:firstRowFirstColumn="0" w:firstRowLastColumn="0" w:lastRowFirstColumn="0" w:lastRowLastColumn="0"/>
            </w:pPr>
            <w:r w:rsidRPr="00893B11">
              <w:t xml:space="preserve">Construction of new ground floor linkage Bicentennial Hall / The Q Foyer </w:t>
            </w:r>
          </w:p>
          <w:p w14:paraId="1728B376" w14:textId="77777777" w:rsidR="00CC4ECF" w:rsidRPr="00893B11" w:rsidRDefault="00CC4ECF" w:rsidP="006B2299">
            <w:pPr>
              <w:pStyle w:val="TableBullet"/>
              <w:cnfStyle w:val="000000000000" w:firstRow="0" w:lastRow="0" w:firstColumn="0" w:lastColumn="0" w:oddVBand="0" w:evenVBand="0" w:oddHBand="0" w:evenHBand="0" w:firstRowFirstColumn="0" w:firstRowLastColumn="0" w:lastRowFirstColumn="0" w:lastRowLastColumn="0"/>
            </w:pPr>
            <w:r w:rsidRPr="00893B11">
              <w:t xml:space="preserve">Construction of mezzanine level from Bicentennial Hall to the new public administration building </w:t>
            </w:r>
          </w:p>
          <w:p w14:paraId="0F7972F0" w14:textId="77777777" w:rsidR="00CC4ECF" w:rsidRPr="00893B11" w:rsidRDefault="00CC4ECF" w:rsidP="006B2299">
            <w:pPr>
              <w:pStyle w:val="TableBullet"/>
              <w:cnfStyle w:val="000000000000" w:firstRow="0" w:lastRow="0" w:firstColumn="0" w:lastColumn="0" w:oddVBand="0" w:evenVBand="0" w:oddHBand="0" w:evenHBand="0" w:firstRowFirstColumn="0" w:firstRowLastColumn="0" w:lastRowFirstColumn="0" w:lastRowLastColumn="0"/>
            </w:pPr>
            <w:r w:rsidRPr="00893B11">
              <w:t xml:space="preserve">Establishment and landscaping of a Crawford Street Plaza </w:t>
            </w:r>
          </w:p>
          <w:p w14:paraId="413B1616" w14:textId="77777777" w:rsidR="00CC4ECF" w:rsidRPr="00893B11" w:rsidRDefault="00CC4ECF" w:rsidP="006B2299">
            <w:pPr>
              <w:pStyle w:val="TableBullet"/>
              <w:cnfStyle w:val="000000000000" w:firstRow="0" w:lastRow="0" w:firstColumn="0" w:lastColumn="0" w:oddVBand="0" w:evenVBand="0" w:oddHBand="0" w:evenHBand="0" w:firstRowFirstColumn="0" w:firstRowLastColumn="0" w:lastRowFirstColumn="0" w:lastRowLastColumn="0"/>
            </w:pPr>
            <w:r w:rsidRPr="00893B11">
              <w:t xml:space="preserve">Establishment and landscaping of The Q Plaza </w:t>
            </w:r>
          </w:p>
          <w:p w14:paraId="6FD5E7A8" w14:textId="13C5A331" w:rsidR="00CC4ECF" w:rsidRPr="009D1556" w:rsidRDefault="00CC4ECF" w:rsidP="006B2299">
            <w:pPr>
              <w:pStyle w:val="TableBullet"/>
              <w:cnfStyle w:val="000000000000" w:firstRow="0" w:lastRow="0" w:firstColumn="0" w:lastColumn="0" w:oddVBand="0" w:evenVBand="0" w:oddHBand="0" w:evenHBand="0" w:firstRowFirstColumn="0" w:firstRowLastColumn="0" w:lastRowFirstColumn="0" w:lastRowLastColumn="0"/>
            </w:pPr>
            <w:r w:rsidRPr="00893B11">
              <w:t xml:space="preserve">Subdivision of the site to reconfigure the current lot alignment from six allotments into two allotments. </w:t>
            </w:r>
            <w:r>
              <w:t xml:space="preserve"> </w:t>
            </w:r>
          </w:p>
        </w:tc>
      </w:tr>
      <w:tr w:rsidR="009D1556" w14:paraId="0446A24A" w14:textId="77777777" w:rsidTr="001C65AF">
        <w:tc>
          <w:tcPr>
            <w:cnfStyle w:val="001000000000" w:firstRow="0" w:lastRow="0" w:firstColumn="1" w:lastColumn="0" w:oddVBand="0" w:evenVBand="0" w:oddHBand="0" w:evenHBand="0" w:firstRowFirstColumn="0" w:firstRowLastColumn="0" w:lastRowFirstColumn="0" w:lastRowLastColumn="0"/>
            <w:tcW w:w="1685" w:type="pct"/>
          </w:tcPr>
          <w:p w14:paraId="72DDFA24" w14:textId="307C4EE6" w:rsidR="009D1556" w:rsidRDefault="009D1556" w:rsidP="009D1556">
            <w:pPr>
              <w:pStyle w:val="TableHeadingGrey"/>
            </w:pPr>
            <w:r>
              <w:t>Street Address</w:t>
            </w:r>
          </w:p>
        </w:tc>
        <w:tc>
          <w:tcPr>
            <w:tcW w:w="3315" w:type="pct"/>
          </w:tcPr>
          <w:p w14:paraId="48D2242C" w14:textId="649DD58C" w:rsidR="009D1556" w:rsidRPr="009D1556" w:rsidRDefault="00AA6A7A" w:rsidP="009D1556">
            <w:pPr>
              <w:pStyle w:val="TableHeadingGrey"/>
              <w:cnfStyle w:val="000000000000" w:firstRow="0" w:lastRow="0" w:firstColumn="0" w:lastColumn="0" w:oddVBand="0" w:evenVBand="0" w:oddHBand="0" w:evenHBand="0" w:firstRowFirstColumn="0" w:firstRowLastColumn="0" w:lastRowFirstColumn="0" w:lastRowLastColumn="0"/>
              <w:rPr>
                <w:b w:val="0"/>
                <w:bCs/>
              </w:rPr>
            </w:pPr>
            <w:r>
              <w:rPr>
                <w:b w:val="0"/>
                <w:bCs/>
              </w:rPr>
              <w:t>257 Crawford Street, Queanbeyan</w:t>
            </w:r>
          </w:p>
        </w:tc>
      </w:tr>
      <w:tr w:rsidR="009D1556" w14:paraId="607550FB" w14:textId="77777777" w:rsidTr="001C65AF">
        <w:tc>
          <w:tcPr>
            <w:cnfStyle w:val="001000000000" w:firstRow="0" w:lastRow="0" w:firstColumn="1" w:lastColumn="0" w:oddVBand="0" w:evenVBand="0" w:oddHBand="0" w:evenHBand="0" w:firstRowFirstColumn="0" w:firstRowLastColumn="0" w:lastRowFirstColumn="0" w:lastRowLastColumn="0"/>
            <w:tcW w:w="1685" w:type="pct"/>
          </w:tcPr>
          <w:p w14:paraId="52CC3E66" w14:textId="4419DFC7" w:rsidR="009D1556" w:rsidRDefault="009D1556" w:rsidP="009D1556">
            <w:pPr>
              <w:pStyle w:val="TableHeadingGrey"/>
            </w:pPr>
            <w:r>
              <w:t>Applicant</w:t>
            </w:r>
          </w:p>
        </w:tc>
        <w:tc>
          <w:tcPr>
            <w:tcW w:w="3315" w:type="pct"/>
          </w:tcPr>
          <w:p w14:paraId="00829E68" w14:textId="1B7D3C9A" w:rsidR="009D1556" w:rsidRPr="009D1556" w:rsidRDefault="00806A6E" w:rsidP="009D1556">
            <w:pPr>
              <w:pStyle w:val="TableHeadingGrey"/>
              <w:cnfStyle w:val="000000000000" w:firstRow="0" w:lastRow="0" w:firstColumn="0" w:lastColumn="0" w:oddVBand="0" w:evenVBand="0" w:oddHBand="0" w:evenHBand="0" w:firstRowFirstColumn="0" w:firstRowLastColumn="0" w:lastRowFirstColumn="0" w:lastRowLastColumn="0"/>
              <w:rPr>
                <w:b w:val="0"/>
                <w:bCs/>
              </w:rPr>
            </w:pPr>
            <w:r>
              <w:rPr>
                <w:b w:val="0"/>
                <w:bCs/>
              </w:rPr>
              <w:t>SMEC</w:t>
            </w:r>
            <w:r w:rsidR="007D63CB">
              <w:rPr>
                <w:b w:val="0"/>
                <w:bCs/>
              </w:rPr>
              <w:t xml:space="preserve"> p</w:t>
            </w:r>
            <w:r w:rsidR="001413F2">
              <w:rPr>
                <w:b w:val="0"/>
                <w:bCs/>
              </w:rPr>
              <w:t xml:space="preserve">repared </w:t>
            </w:r>
            <w:r w:rsidR="007D63CB">
              <w:rPr>
                <w:b w:val="0"/>
                <w:bCs/>
              </w:rPr>
              <w:t xml:space="preserve">the </w:t>
            </w:r>
            <w:r w:rsidR="001413F2">
              <w:rPr>
                <w:b w:val="0"/>
                <w:bCs/>
              </w:rPr>
              <w:t>DA documentation on behalf of QPRC</w:t>
            </w:r>
          </w:p>
        </w:tc>
      </w:tr>
      <w:tr w:rsidR="00806A6E" w14:paraId="27F9D442" w14:textId="77777777" w:rsidTr="001C65AF">
        <w:tc>
          <w:tcPr>
            <w:cnfStyle w:val="001000000000" w:firstRow="0" w:lastRow="0" w:firstColumn="1" w:lastColumn="0" w:oddVBand="0" w:evenVBand="0" w:oddHBand="0" w:evenHBand="0" w:firstRowFirstColumn="0" w:firstRowLastColumn="0" w:lastRowFirstColumn="0" w:lastRowLastColumn="0"/>
            <w:tcW w:w="1685" w:type="pct"/>
          </w:tcPr>
          <w:p w14:paraId="13C46C0A" w14:textId="218DF6FB" w:rsidR="00806A6E" w:rsidRDefault="00806A6E" w:rsidP="009D1556">
            <w:pPr>
              <w:pStyle w:val="TableHeadingGrey"/>
            </w:pPr>
            <w:r>
              <w:t xml:space="preserve">Owner </w:t>
            </w:r>
          </w:p>
        </w:tc>
        <w:tc>
          <w:tcPr>
            <w:tcW w:w="3315" w:type="pct"/>
          </w:tcPr>
          <w:p w14:paraId="7171709B" w14:textId="330DE83C" w:rsidR="00806A6E" w:rsidRDefault="00806A6E" w:rsidP="009D1556">
            <w:pPr>
              <w:pStyle w:val="TableHeadingGrey"/>
              <w:cnfStyle w:val="000000000000" w:firstRow="0" w:lastRow="0" w:firstColumn="0" w:lastColumn="0" w:oddVBand="0" w:evenVBand="0" w:oddHBand="0" w:evenHBand="0" w:firstRowFirstColumn="0" w:firstRowLastColumn="0" w:lastRowFirstColumn="0" w:lastRowLastColumn="0"/>
              <w:rPr>
                <w:b w:val="0"/>
                <w:bCs/>
              </w:rPr>
            </w:pPr>
            <w:r>
              <w:rPr>
                <w:b w:val="0"/>
                <w:bCs/>
              </w:rPr>
              <w:t>QPRC</w:t>
            </w:r>
          </w:p>
        </w:tc>
      </w:tr>
      <w:tr w:rsidR="009D1556" w14:paraId="67DF76A8" w14:textId="77777777" w:rsidTr="001C65AF">
        <w:tc>
          <w:tcPr>
            <w:cnfStyle w:val="001000000000" w:firstRow="0" w:lastRow="0" w:firstColumn="1" w:lastColumn="0" w:oddVBand="0" w:evenVBand="0" w:oddHBand="0" w:evenHBand="0" w:firstRowFirstColumn="0" w:firstRowLastColumn="0" w:lastRowFirstColumn="0" w:lastRowLastColumn="0"/>
            <w:tcW w:w="1685" w:type="pct"/>
          </w:tcPr>
          <w:p w14:paraId="6D35547B" w14:textId="35F553FC" w:rsidR="009D1556" w:rsidRDefault="009D1556" w:rsidP="009D1556">
            <w:pPr>
              <w:pStyle w:val="TableHeadingGrey"/>
            </w:pPr>
            <w:r>
              <w:t>Date of DA lodgement</w:t>
            </w:r>
          </w:p>
        </w:tc>
        <w:tc>
          <w:tcPr>
            <w:tcW w:w="3315" w:type="pct"/>
          </w:tcPr>
          <w:p w14:paraId="31F6E5ED" w14:textId="7D182852" w:rsidR="009D1556" w:rsidRPr="009D1556" w:rsidRDefault="00AA6A7A" w:rsidP="009D1556">
            <w:pPr>
              <w:pStyle w:val="TableHeadingGrey"/>
              <w:cnfStyle w:val="000000000000" w:firstRow="0" w:lastRow="0" w:firstColumn="0" w:lastColumn="0" w:oddVBand="0" w:evenVBand="0" w:oddHBand="0" w:evenHBand="0" w:firstRowFirstColumn="0" w:firstRowLastColumn="0" w:lastRowFirstColumn="0" w:lastRowLastColumn="0"/>
              <w:rPr>
                <w:b w:val="0"/>
                <w:bCs/>
              </w:rPr>
            </w:pPr>
            <w:r w:rsidRPr="00AA6A7A">
              <w:rPr>
                <w:b w:val="0"/>
                <w:bCs/>
              </w:rPr>
              <w:t xml:space="preserve">12 </w:t>
            </w:r>
            <w:r w:rsidR="00FA4E2A" w:rsidRPr="00AA6A7A">
              <w:rPr>
                <w:b w:val="0"/>
                <w:bCs/>
              </w:rPr>
              <w:t>December 2019</w:t>
            </w:r>
          </w:p>
        </w:tc>
      </w:tr>
      <w:tr w:rsidR="000A1F96" w14:paraId="16497502" w14:textId="77777777" w:rsidTr="006B2299">
        <w:tc>
          <w:tcPr>
            <w:cnfStyle w:val="001000000000" w:firstRow="0" w:lastRow="0" w:firstColumn="1" w:lastColumn="0" w:oddVBand="0" w:evenVBand="0" w:oddHBand="0" w:evenHBand="0" w:firstRowFirstColumn="0" w:firstRowLastColumn="0" w:lastRowFirstColumn="0" w:lastRowLastColumn="0"/>
            <w:tcW w:w="1685" w:type="pct"/>
          </w:tcPr>
          <w:p w14:paraId="24524239" w14:textId="49793559" w:rsidR="000A1F96" w:rsidRDefault="000A1F96" w:rsidP="009D1556">
            <w:pPr>
              <w:pStyle w:val="TableHeadingGrey"/>
            </w:pPr>
            <w:r>
              <w:t>Integrated Development</w:t>
            </w:r>
          </w:p>
        </w:tc>
        <w:tc>
          <w:tcPr>
            <w:tcW w:w="3315" w:type="pct"/>
            <w:shd w:val="clear" w:color="auto" w:fill="auto"/>
          </w:tcPr>
          <w:p w14:paraId="02C33809" w14:textId="660979BD" w:rsidR="000A1F96" w:rsidRPr="006B2299" w:rsidRDefault="006B2299" w:rsidP="009D1556">
            <w:pPr>
              <w:pStyle w:val="TableHeadingGrey"/>
              <w:cnfStyle w:val="000000000000" w:firstRow="0" w:lastRow="0" w:firstColumn="0" w:lastColumn="0" w:oddVBand="0" w:evenVBand="0" w:oddHBand="0" w:evenHBand="0" w:firstRowFirstColumn="0" w:firstRowLastColumn="0" w:lastRowFirstColumn="0" w:lastRowLastColumn="0"/>
              <w:rPr>
                <w:b w:val="0"/>
                <w:bCs/>
              </w:rPr>
            </w:pPr>
            <w:r w:rsidRPr="006B2299">
              <w:rPr>
                <w:b w:val="0"/>
                <w:bCs/>
              </w:rPr>
              <w:t>No</w:t>
            </w:r>
          </w:p>
        </w:tc>
      </w:tr>
      <w:tr w:rsidR="009D1556" w14:paraId="672B887A" w14:textId="77777777" w:rsidTr="006B2299">
        <w:tc>
          <w:tcPr>
            <w:cnfStyle w:val="001000000000" w:firstRow="0" w:lastRow="0" w:firstColumn="1" w:lastColumn="0" w:oddVBand="0" w:evenVBand="0" w:oddHBand="0" w:evenHBand="0" w:firstRowFirstColumn="0" w:firstRowLastColumn="0" w:lastRowFirstColumn="0" w:lastRowLastColumn="0"/>
            <w:tcW w:w="1685" w:type="pct"/>
          </w:tcPr>
          <w:p w14:paraId="4D5C65EA" w14:textId="4F8D87E0" w:rsidR="009D1556" w:rsidRDefault="009D1556" w:rsidP="009D1556">
            <w:pPr>
              <w:pStyle w:val="TableHeadingGrey"/>
            </w:pPr>
            <w:r>
              <w:lastRenderedPageBreak/>
              <w:t>Number of submissions</w:t>
            </w:r>
          </w:p>
        </w:tc>
        <w:tc>
          <w:tcPr>
            <w:tcW w:w="3315" w:type="pct"/>
            <w:shd w:val="clear" w:color="auto" w:fill="auto"/>
          </w:tcPr>
          <w:p w14:paraId="6CBE9A1F" w14:textId="166703F1" w:rsidR="009D1556" w:rsidRPr="006B2299" w:rsidRDefault="006B2299" w:rsidP="009D1556">
            <w:pPr>
              <w:pStyle w:val="TableHeadingGrey"/>
              <w:cnfStyle w:val="000000000000" w:firstRow="0" w:lastRow="0" w:firstColumn="0" w:lastColumn="0" w:oddVBand="0" w:evenVBand="0" w:oddHBand="0" w:evenHBand="0" w:firstRowFirstColumn="0" w:firstRowLastColumn="0" w:lastRowFirstColumn="0" w:lastRowLastColumn="0"/>
              <w:rPr>
                <w:b w:val="0"/>
                <w:bCs/>
              </w:rPr>
            </w:pPr>
            <w:r w:rsidRPr="006B2299">
              <w:rPr>
                <w:b w:val="0"/>
                <w:bCs/>
              </w:rPr>
              <w:t>Nil</w:t>
            </w:r>
          </w:p>
        </w:tc>
      </w:tr>
      <w:tr w:rsidR="009D1556" w14:paraId="1B4BE6E2" w14:textId="77777777" w:rsidTr="006B2299">
        <w:tc>
          <w:tcPr>
            <w:cnfStyle w:val="001000000000" w:firstRow="0" w:lastRow="0" w:firstColumn="1" w:lastColumn="0" w:oddVBand="0" w:evenVBand="0" w:oddHBand="0" w:evenHBand="0" w:firstRowFirstColumn="0" w:firstRowLastColumn="0" w:lastRowFirstColumn="0" w:lastRowLastColumn="0"/>
            <w:tcW w:w="1685" w:type="pct"/>
          </w:tcPr>
          <w:p w14:paraId="18B49BF1" w14:textId="1775D355" w:rsidR="009D1556" w:rsidRDefault="009D1556" w:rsidP="009D1556">
            <w:pPr>
              <w:pStyle w:val="TableHeadingGrey"/>
            </w:pPr>
            <w:r>
              <w:t>Recommendation</w:t>
            </w:r>
          </w:p>
        </w:tc>
        <w:tc>
          <w:tcPr>
            <w:tcW w:w="3315" w:type="pct"/>
            <w:shd w:val="clear" w:color="auto" w:fill="auto"/>
          </w:tcPr>
          <w:p w14:paraId="63CF1B01" w14:textId="090EEBA0" w:rsidR="009D1556" w:rsidRPr="006B2299" w:rsidRDefault="00FA4E2A" w:rsidP="009D1556">
            <w:pPr>
              <w:pStyle w:val="TableHeadingGrey"/>
              <w:cnfStyle w:val="000000000000" w:firstRow="0" w:lastRow="0" w:firstColumn="0" w:lastColumn="0" w:oddVBand="0" w:evenVBand="0" w:oddHBand="0" w:evenHBand="0" w:firstRowFirstColumn="0" w:firstRowLastColumn="0" w:lastRowFirstColumn="0" w:lastRowLastColumn="0"/>
              <w:rPr>
                <w:b w:val="0"/>
                <w:bCs/>
              </w:rPr>
            </w:pPr>
            <w:r w:rsidRPr="006B2299">
              <w:rPr>
                <w:b w:val="0"/>
                <w:bCs/>
              </w:rPr>
              <w:t>Approval</w:t>
            </w:r>
          </w:p>
        </w:tc>
      </w:tr>
      <w:tr w:rsidR="009D1556" w14:paraId="5A9386D7" w14:textId="77777777" w:rsidTr="001C65AF">
        <w:tc>
          <w:tcPr>
            <w:cnfStyle w:val="001000000000" w:firstRow="0" w:lastRow="0" w:firstColumn="1" w:lastColumn="0" w:oddVBand="0" w:evenVBand="0" w:oddHBand="0" w:evenHBand="0" w:firstRowFirstColumn="0" w:firstRowLastColumn="0" w:lastRowFirstColumn="0" w:lastRowLastColumn="0"/>
            <w:tcW w:w="1685" w:type="pct"/>
          </w:tcPr>
          <w:p w14:paraId="631064F5" w14:textId="3B7758E5" w:rsidR="009D1556" w:rsidRDefault="009D1556" w:rsidP="009D1556">
            <w:pPr>
              <w:pStyle w:val="TableHeadingGrey"/>
            </w:pPr>
            <w:r>
              <w:t>Regional Development Criteria (Schedule 7 of the SEPP (State and Regional Development) 2011)</w:t>
            </w:r>
          </w:p>
        </w:tc>
        <w:tc>
          <w:tcPr>
            <w:tcW w:w="3315" w:type="pct"/>
          </w:tcPr>
          <w:p w14:paraId="6462F163" w14:textId="189DAC6B" w:rsidR="009D1556" w:rsidRPr="009D1556" w:rsidRDefault="007D63CB" w:rsidP="009D1556">
            <w:pPr>
              <w:pStyle w:val="TableHeadingGrey"/>
              <w:cnfStyle w:val="000000000000" w:firstRow="0" w:lastRow="0" w:firstColumn="0" w:lastColumn="0" w:oddVBand="0" w:evenVBand="0" w:oddHBand="0" w:evenHBand="0" w:firstRowFirstColumn="0" w:firstRowLastColumn="0" w:lastRowFirstColumn="0" w:lastRowLastColumn="0"/>
              <w:rPr>
                <w:b w:val="0"/>
                <w:bCs/>
              </w:rPr>
            </w:pPr>
            <w:r>
              <w:rPr>
                <w:b w:val="0"/>
                <w:bCs/>
              </w:rPr>
              <w:t>CIV</w:t>
            </w:r>
            <w:r w:rsidR="00933D1B">
              <w:rPr>
                <w:b w:val="0"/>
                <w:bCs/>
              </w:rPr>
              <w:t xml:space="preserve"> </w:t>
            </w:r>
            <w:r w:rsidR="009D1556" w:rsidRPr="009D1556">
              <w:rPr>
                <w:b w:val="0"/>
                <w:bCs/>
              </w:rPr>
              <w:t>of over $5 million</w:t>
            </w:r>
          </w:p>
          <w:p w14:paraId="06FE085D" w14:textId="42D34D70" w:rsidR="009D1556" w:rsidRPr="009D1556" w:rsidRDefault="009D1556" w:rsidP="009D1556">
            <w:pPr>
              <w:pStyle w:val="TableHeadingGrey"/>
              <w:cnfStyle w:val="000000000000" w:firstRow="0" w:lastRow="0" w:firstColumn="0" w:lastColumn="0" w:oddVBand="0" w:evenVBand="0" w:oddHBand="0" w:evenHBand="0" w:firstRowFirstColumn="0" w:firstRowLastColumn="0" w:lastRowFirstColumn="0" w:lastRowLastColumn="0"/>
              <w:rPr>
                <w:b w:val="0"/>
                <w:bCs/>
              </w:rPr>
            </w:pPr>
            <w:r w:rsidRPr="009D1556">
              <w:rPr>
                <w:b w:val="0"/>
                <w:bCs/>
              </w:rPr>
              <w:t>The development is to be carried out by Council.</w:t>
            </w:r>
          </w:p>
        </w:tc>
      </w:tr>
      <w:tr w:rsidR="009D1556" w14:paraId="0E9FEB5F" w14:textId="77777777" w:rsidTr="006B2299">
        <w:tc>
          <w:tcPr>
            <w:cnfStyle w:val="001000000000" w:firstRow="0" w:lastRow="0" w:firstColumn="1" w:lastColumn="0" w:oddVBand="0" w:evenVBand="0" w:oddHBand="0" w:evenHBand="0" w:firstRowFirstColumn="0" w:firstRowLastColumn="0" w:lastRowFirstColumn="0" w:lastRowLastColumn="0"/>
            <w:tcW w:w="1685" w:type="pct"/>
          </w:tcPr>
          <w:p w14:paraId="41BFE27D" w14:textId="72F3BDC6" w:rsidR="009D1556" w:rsidRDefault="009D1556" w:rsidP="009D1556">
            <w:pPr>
              <w:pStyle w:val="TableHeadingGrey"/>
            </w:pPr>
            <w:r>
              <w:t>List of all relevant s4.15(1)(a) matters</w:t>
            </w:r>
          </w:p>
        </w:tc>
        <w:tc>
          <w:tcPr>
            <w:tcW w:w="3315" w:type="pct"/>
            <w:shd w:val="clear" w:color="auto" w:fill="auto"/>
          </w:tcPr>
          <w:p w14:paraId="5488984B" w14:textId="77777777" w:rsidR="009D1556" w:rsidRPr="00C14E67" w:rsidRDefault="007D63CB" w:rsidP="009D1556">
            <w:pPr>
              <w:pStyle w:val="ListBullet0"/>
              <w:cnfStyle w:val="000000000000" w:firstRow="0" w:lastRow="0" w:firstColumn="0" w:lastColumn="0" w:oddVBand="0" w:evenVBand="0" w:oddHBand="0" w:evenHBand="0" w:firstRowFirstColumn="0" w:firstRowLastColumn="0" w:lastRowFirstColumn="0" w:lastRowLastColumn="0"/>
            </w:pPr>
            <w:r w:rsidRPr="00C14E67">
              <w:t>State Environmental Planning Policy (State and Regional Development) 2011</w:t>
            </w:r>
          </w:p>
          <w:p w14:paraId="7FD35DF1" w14:textId="77777777" w:rsidR="00601A3D" w:rsidRPr="00C14E67" w:rsidRDefault="00601A3D" w:rsidP="009D1556">
            <w:pPr>
              <w:pStyle w:val="ListBullet0"/>
              <w:cnfStyle w:val="000000000000" w:firstRow="0" w:lastRow="0" w:firstColumn="0" w:lastColumn="0" w:oddVBand="0" w:evenVBand="0" w:oddHBand="0" w:evenHBand="0" w:firstRowFirstColumn="0" w:firstRowLastColumn="0" w:lastRowFirstColumn="0" w:lastRowLastColumn="0"/>
            </w:pPr>
            <w:r w:rsidRPr="00C14E67">
              <w:t>State Environmental Planning Policy No.55 – Remediation of Land</w:t>
            </w:r>
          </w:p>
          <w:p w14:paraId="0AA3AD40" w14:textId="77777777" w:rsidR="00601A3D" w:rsidRPr="00C14E67" w:rsidRDefault="00601A3D" w:rsidP="009D1556">
            <w:pPr>
              <w:pStyle w:val="ListBullet0"/>
              <w:cnfStyle w:val="000000000000" w:firstRow="0" w:lastRow="0" w:firstColumn="0" w:lastColumn="0" w:oddVBand="0" w:evenVBand="0" w:oddHBand="0" w:evenHBand="0" w:firstRowFirstColumn="0" w:firstRowLastColumn="0" w:lastRowFirstColumn="0" w:lastRowLastColumn="0"/>
            </w:pPr>
            <w:r w:rsidRPr="00C14E67">
              <w:t>State Environmental Planning Policy No.64 – Advertising and Signage</w:t>
            </w:r>
          </w:p>
          <w:p w14:paraId="2659EF41" w14:textId="337735C2" w:rsidR="00601A3D" w:rsidRPr="00C14E67" w:rsidRDefault="00601A3D" w:rsidP="009D1556">
            <w:pPr>
              <w:pStyle w:val="ListBullet0"/>
              <w:cnfStyle w:val="000000000000" w:firstRow="0" w:lastRow="0" w:firstColumn="0" w:lastColumn="0" w:oddVBand="0" w:evenVBand="0" w:oddHBand="0" w:evenHBand="0" w:firstRowFirstColumn="0" w:firstRowLastColumn="0" w:lastRowFirstColumn="0" w:lastRowLastColumn="0"/>
            </w:pPr>
            <w:r w:rsidRPr="00C14E67">
              <w:t>Queanbeyan Local Environmental Plan</w:t>
            </w:r>
            <w:r w:rsidR="00C14E67" w:rsidRPr="00C14E67">
              <w:t xml:space="preserve"> 2012</w:t>
            </w:r>
          </w:p>
          <w:p w14:paraId="7960B8D6" w14:textId="6A07D6AA" w:rsidR="00601A3D" w:rsidRPr="009D1556" w:rsidRDefault="00C14E67" w:rsidP="009D1556">
            <w:pPr>
              <w:pStyle w:val="ListBullet0"/>
              <w:cnfStyle w:val="000000000000" w:firstRow="0" w:lastRow="0" w:firstColumn="0" w:lastColumn="0" w:oddVBand="0" w:evenVBand="0" w:oddHBand="0" w:evenHBand="0" w:firstRowFirstColumn="0" w:firstRowLastColumn="0" w:lastRowFirstColumn="0" w:lastRowLastColumn="0"/>
            </w:pPr>
            <w:r w:rsidRPr="00C14E67">
              <w:t xml:space="preserve">Queanbeyan </w:t>
            </w:r>
            <w:r w:rsidR="00601A3D" w:rsidRPr="00C14E67">
              <w:t>Development Control Plan</w:t>
            </w:r>
            <w:r w:rsidRPr="00C14E67">
              <w:t xml:space="preserve"> 2012</w:t>
            </w:r>
          </w:p>
        </w:tc>
      </w:tr>
      <w:tr w:rsidR="009D1556" w14:paraId="2DFF64C8" w14:textId="77777777" w:rsidTr="006B2299">
        <w:tc>
          <w:tcPr>
            <w:cnfStyle w:val="001000000000" w:firstRow="0" w:lastRow="0" w:firstColumn="1" w:lastColumn="0" w:oddVBand="0" w:evenVBand="0" w:oddHBand="0" w:evenHBand="0" w:firstRowFirstColumn="0" w:firstRowLastColumn="0" w:lastRowFirstColumn="0" w:lastRowLastColumn="0"/>
            <w:tcW w:w="1685" w:type="pct"/>
          </w:tcPr>
          <w:p w14:paraId="659278C4" w14:textId="3100B19C" w:rsidR="009D1556" w:rsidRDefault="009D1556" w:rsidP="009D1556">
            <w:pPr>
              <w:pStyle w:val="TableHeadingGrey"/>
            </w:pPr>
            <w:r>
              <w:t>List all documents submitted with this report for the Panel’s consideration</w:t>
            </w:r>
          </w:p>
        </w:tc>
        <w:tc>
          <w:tcPr>
            <w:tcW w:w="3315" w:type="pct"/>
            <w:shd w:val="clear" w:color="auto" w:fill="auto"/>
          </w:tcPr>
          <w:p w14:paraId="6E087ACB" w14:textId="77777777" w:rsidR="009D1556" w:rsidRDefault="009D55DA" w:rsidP="006B2299">
            <w:pPr>
              <w:pStyle w:val="TableBullet"/>
              <w:cnfStyle w:val="000000000000" w:firstRow="0" w:lastRow="0" w:firstColumn="0" w:lastColumn="0" w:oddVBand="0" w:evenVBand="0" w:oddHBand="0" w:evenHBand="0" w:firstRowFirstColumn="0" w:firstRowLastColumn="0" w:lastRowFirstColumn="0" w:lastRowLastColumn="0"/>
            </w:pPr>
            <w:r>
              <w:t>Conditions of Consent</w:t>
            </w:r>
          </w:p>
          <w:p w14:paraId="5C64D4AF" w14:textId="77777777" w:rsidR="009D55DA" w:rsidRDefault="009D55DA" w:rsidP="006B2299">
            <w:pPr>
              <w:pStyle w:val="TableBullet"/>
              <w:cnfStyle w:val="000000000000" w:firstRow="0" w:lastRow="0" w:firstColumn="0" w:lastColumn="0" w:oddVBand="0" w:evenVBand="0" w:oddHBand="0" w:evenHBand="0" w:firstRowFirstColumn="0" w:firstRowLastColumn="0" w:lastRowFirstColumn="0" w:lastRowLastColumn="0"/>
            </w:pPr>
            <w:r>
              <w:t>Assessment Report</w:t>
            </w:r>
          </w:p>
          <w:p w14:paraId="39FFB1BF" w14:textId="77777777" w:rsidR="009D55DA" w:rsidRDefault="009D55DA" w:rsidP="008525E7">
            <w:pPr>
              <w:pStyle w:val="TableBullet"/>
              <w:cnfStyle w:val="000000000000" w:firstRow="0" w:lastRow="0" w:firstColumn="0" w:lastColumn="0" w:oddVBand="0" w:evenVBand="0" w:oddHBand="0" w:evenHBand="0" w:firstRowFirstColumn="0" w:firstRowLastColumn="0" w:lastRowFirstColumn="0" w:lastRowLastColumn="0"/>
            </w:pPr>
            <w:r>
              <w:t>Proposed Architectural Plans</w:t>
            </w:r>
          </w:p>
          <w:p w14:paraId="3F2FF60F" w14:textId="635D8A24" w:rsidR="00430C15" w:rsidRPr="009D1556" w:rsidRDefault="00430C15" w:rsidP="00430C15">
            <w:pPr>
              <w:pStyle w:val="TableBullet"/>
              <w:cnfStyle w:val="000000000000" w:firstRow="0" w:lastRow="0" w:firstColumn="0" w:lastColumn="0" w:oddVBand="0" w:evenVBand="0" w:oddHBand="0" w:evenHBand="0" w:firstRowFirstColumn="0" w:firstRowLastColumn="0" w:lastRowFirstColumn="0" w:lastRowLastColumn="0"/>
            </w:pPr>
            <w:r>
              <w:t>DCP Compliance Assessment</w:t>
            </w:r>
          </w:p>
        </w:tc>
      </w:tr>
      <w:tr w:rsidR="009D1556" w14:paraId="1DE71C77" w14:textId="77777777" w:rsidTr="006B2299">
        <w:tc>
          <w:tcPr>
            <w:cnfStyle w:val="001000000000" w:firstRow="0" w:lastRow="0" w:firstColumn="1" w:lastColumn="0" w:oddVBand="0" w:evenVBand="0" w:oddHBand="0" w:evenHBand="0" w:firstRowFirstColumn="0" w:firstRowLastColumn="0" w:lastRowFirstColumn="0" w:lastRowLastColumn="0"/>
            <w:tcW w:w="1685" w:type="pct"/>
          </w:tcPr>
          <w:p w14:paraId="29894F10" w14:textId="4BED594A" w:rsidR="009D1556" w:rsidRDefault="009D1556" w:rsidP="009D1556">
            <w:pPr>
              <w:pStyle w:val="TableHeadingGrey"/>
            </w:pPr>
            <w:r>
              <w:t>Report prepared by</w:t>
            </w:r>
          </w:p>
        </w:tc>
        <w:tc>
          <w:tcPr>
            <w:tcW w:w="3315" w:type="pct"/>
            <w:shd w:val="clear" w:color="auto" w:fill="auto"/>
          </w:tcPr>
          <w:p w14:paraId="13AAE385" w14:textId="1029D4EF" w:rsidR="009D1556" w:rsidRPr="009D1556" w:rsidRDefault="00FE5C2C" w:rsidP="009D1556">
            <w:pPr>
              <w:pStyle w:val="TableHeadingGrey"/>
              <w:cnfStyle w:val="000000000000" w:firstRow="0" w:lastRow="0" w:firstColumn="0" w:lastColumn="0" w:oddVBand="0" w:evenVBand="0" w:oddHBand="0" w:evenHBand="0" w:firstRowFirstColumn="0" w:firstRowLastColumn="0" w:lastRowFirstColumn="0" w:lastRowLastColumn="0"/>
              <w:rPr>
                <w:b w:val="0"/>
                <w:bCs/>
              </w:rPr>
            </w:pPr>
            <w:r>
              <w:rPr>
                <w:b w:val="0"/>
                <w:bCs/>
              </w:rPr>
              <w:t>Will Pearson</w:t>
            </w:r>
            <w:r w:rsidR="009D1556" w:rsidRPr="009D1556">
              <w:rPr>
                <w:b w:val="0"/>
                <w:bCs/>
              </w:rPr>
              <w:t>, Elton Consulting</w:t>
            </w:r>
          </w:p>
        </w:tc>
      </w:tr>
      <w:tr w:rsidR="009D1556" w14:paraId="6136C3FF" w14:textId="77777777" w:rsidTr="006B2299">
        <w:tc>
          <w:tcPr>
            <w:cnfStyle w:val="001000000000" w:firstRow="0" w:lastRow="0" w:firstColumn="1" w:lastColumn="0" w:oddVBand="0" w:evenVBand="0" w:oddHBand="0" w:evenHBand="0" w:firstRowFirstColumn="0" w:firstRowLastColumn="0" w:lastRowFirstColumn="0" w:lastRowLastColumn="0"/>
            <w:tcW w:w="1685" w:type="pct"/>
          </w:tcPr>
          <w:p w14:paraId="3E4622F5" w14:textId="1B1B8A85" w:rsidR="009D1556" w:rsidRDefault="009D1556" w:rsidP="009D1556">
            <w:pPr>
              <w:pStyle w:val="TableHeadingGrey"/>
            </w:pPr>
            <w:r>
              <w:t>Report date</w:t>
            </w:r>
          </w:p>
        </w:tc>
        <w:tc>
          <w:tcPr>
            <w:tcW w:w="3315" w:type="pct"/>
            <w:shd w:val="clear" w:color="auto" w:fill="auto"/>
          </w:tcPr>
          <w:p w14:paraId="23B7E772" w14:textId="3D9D3B61" w:rsidR="009D1556" w:rsidRPr="009D1556" w:rsidRDefault="0088750F" w:rsidP="009D1556">
            <w:pPr>
              <w:pStyle w:val="TableHeadingGrey"/>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28 </w:t>
            </w:r>
            <w:r w:rsidR="007D63CB">
              <w:rPr>
                <w:b w:val="0"/>
                <w:bCs/>
              </w:rPr>
              <w:t>August 2020</w:t>
            </w:r>
          </w:p>
        </w:tc>
      </w:tr>
    </w:tbl>
    <w:p w14:paraId="3608196F" w14:textId="49A1F80F" w:rsidR="009D1556" w:rsidRDefault="009D1556" w:rsidP="009D1556">
      <w:pPr>
        <w:pStyle w:val="TableCaption"/>
        <w:ind w:left="0" w:firstLine="0"/>
      </w:pPr>
    </w:p>
    <w:tbl>
      <w:tblPr>
        <w:tblStyle w:val="GreenShadedTable"/>
        <w:tblW w:w="5000" w:type="pct"/>
        <w:tblLook w:val="0680" w:firstRow="0" w:lastRow="0" w:firstColumn="1" w:lastColumn="0" w:noHBand="1" w:noVBand="1"/>
      </w:tblPr>
      <w:tblGrid>
        <w:gridCol w:w="8608"/>
        <w:gridCol w:w="1484"/>
      </w:tblGrid>
      <w:tr w:rsidR="009D1556" w:rsidRPr="00717FA5" w14:paraId="6348272B" w14:textId="77777777" w:rsidTr="009D1556">
        <w:tc>
          <w:tcPr>
            <w:cnfStyle w:val="001000000000" w:firstRow="0" w:lastRow="0" w:firstColumn="1" w:lastColumn="0" w:oddVBand="0" w:evenVBand="0" w:oddHBand="0" w:evenHBand="0" w:firstRowFirstColumn="0" w:firstRowLastColumn="0" w:lastRowFirstColumn="0" w:lastRowLastColumn="0"/>
            <w:tcW w:w="4265" w:type="pct"/>
          </w:tcPr>
          <w:p w14:paraId="5143AB78" w14:textId="77777777" w:rsidR="009D1556" w:rsidRPr="00913228" w:rsidRDefault="009D1556" w:rsidP="009D1556">
            <w:pPr>
              <w:pStyle w:val="TableHeadingGrey"/>
            </w:pPr>
            <w:r>
              <w:t>Summary of s4.15</w:t>
            </w:r>
            <w:r w:rsidRPr="00913228">
              <w:t xml:space="preserve"> matters</w:t>
            </w:r>
          </w:p>
          <w:p w14:paraId="2C15FF4D" w14:textId="77777777" w:rsidR="009D1556" w:rsidRPr="009D1556" w:rsidRDefault="009D1556" w:rsidP="009D1556">
            <w:pPr>
              <w:pStyle w:val="TableHeadingGrey"/>
              <w:rPr>
                <w:b w:val="0"/>
              </w:rPr>
            </w:pPr>
            <w:r w:rsidRPr="009D1556">
              <w:rPr>
                <w:b w:val="0"/>
              </w:rPr>
              <w:t>Have all recommendations in relation to relevant s4.15 matters been summarised in the Executive Summary of the assessment report?</w:t>
            </w:r>
          </w:p>
        </w:tc>
        <w:tc>
          <w:tcPr>
            <w:tcW w:w="735" w:type="pct"/>
          </w:tcPr>
          <w:p w14:paraId="62EFE53E" w14:textId="77777777" w:rsidR="009D1556" w:rsidRPr="00FA4E2A" w:rsidRDefault="009D1556" w:rsidP="009D1556">
            <w:pPr>
              <w:pStyle w:val="TableText"/>
              <w:cnfStyle w:val="000000000000" w:firstRow="0" w:lastRow="0" w:firstColumn="0" w:lastColumn="0" w:oddVBand="0" w:evenVBand="0" w:oddHBand="0" w:evenHBand="0" w:firstRowFirstColumn="0" w:firstRowLastColumn="0" w:lastRowFirstColumn="0" w:lastRowLastColumn="0"/>
              <w:rPr>
                <w:rFonts w:cs="Arial"/>
                <w:highlight w:val="yellow"/>
              </w:rPr>
            </w:pPr>
          </w:p>
          <w:p w14:paraId="283A652D" w14:textId="77777777" w:rsidR="009D1556" w:rsidRPr="00FA4E2A" w:rsidRDefault="009D1556" w:rsidP="009D1556">
            <w:pPr>
              <w:pStyle w:val="TableText"/>
              <w:cnfStyle w:val="000000000000" w:firstRow="0" w:lastRow="0" w:firstColumn="0" w:lastColumn="0" w:oddVBand="0" w:evenVBand="0" w:oddHBand="0" w:evenHBand="0" w:firstRowFirstColumn="0" w:firstRowLastColumn="0" w:lastRowFirstColumn="0" w:lastRowLastColumn="0"/>
              <w:rPr>
                <w:rFonts w:cs="Arial"/>
                <w:bCs/>
                <w:highlight w:val="yellow"/>
              </w:rPr>
            </w:pPr>
            <w:r w:rsidRPr="009D55DA">
              <w:rPr>
                <w:rFonts w:cs="Arial"/>
                <w:bCs/>
              </w:rPr>
              <w:t xml:space="preserve">Yes </w:t>
            </w:r>
          </w:p>
        </w:tc>
      </w:tr>
      <w:tr w:rsidR="009D1556" w:rsidRPr="00717FA5" w14:paraId="187F47AF" w14:textId="77777777" w:rsidTr="009D1556">
        <w:tc>
          <w:tcPr>
            <w:cnfStyle w:val="001000000000" w:firstRow="0" w:lastRow="0" w:firstColumn="1" w:lastColumn="0" w:oddVBand="0" w:evenVBand="0" w:oddHBand="0" w:evenHBand="0" w:firstRowFirstColumn="0" w:firstRowLastColumn="0" w:lastRowFirstColumn="0" w:lastRowLastColumn="0"/>
            <w:tcW w:w="4265" w:type="pct"/>
          </w:tcPr>
          <w:p w14:paraId="621382D2" w14:textId="77777777" w:rsidR="009D1556" w:rsidRPr="00913228" w:rsidRDefault="009D1556" w:rsidP="009D1556">
            <w:pPr>
              <w:pStyle w:val="TableHeadingGrey"/>
            </w:pPr>
            <w:r w:rsidRPr="00913228">
              <w:t>Legislative clauses requiring consent authority satisfaction</w:t>
            </w:r>
          </w:p>
          <w:p w14:paraId="218EA934" w14:textId="77777777" w:rsidR="009D1556" w:rsidRPr="009D1556" w:rsidRDefault="009D1556" w:rsidP="009D1556">
            <w:pPr>
              <w:pStyle w:val="TableHeadingGrey"/>
              <w:rPr>
                <w:b w:val="0"/>
                <w:bCs/>
              </w:rPr>
            </w:pPr>
            <w:r w:rsidRPr="009D1556">
              <w:rPr>
                <w:b w:val="0"/>
                <w:bCs/>
              </w:rPr>
              <w:t>Have relevant clauses in all applicable environmental planning instruments where the consent authority must be satisfied about a particular matter been listed, and relevant recommendations summarized, in the Executive Summary of the assessment report?</w:t>
            </w:r>
          </w:p>
          <w:p w14:paraId="78FDED7B" w14:textId="254BFB2D" w:rsidR="009D1556" w:rsidRPr="00913228" w:rsidRDefault="009D1556" w:rsidP="009D1556">
            <w:pPr>
              <w:pStyle w:val="TableHeadingGrey"/>
              <w:rPr>
                <w:i/>
              </w:rPr>
            </w:pPr>
            <w:r w:rsidRPr="009D1556">
              <w:rPr>
                <w:b w:val="0"/>
                <w:bCs/>
                <w:i/>
              </w:rPr>
              <w:t xml:space="preserve">e.g. Clause 7 of SEPP 55 </w:t>
            </w:r>
            <w:r w:rsidR="000A1F96">
              <w:rPr>
                <w:b w:val="0"/>
                <w:bCs/>
                <w:i/>
              </w:rPr>
              <w:t>–</w:t>
            </w:r>
            <w:r w:rsidRPr="009D1556">
              <w:rPr>
                <w:b w:val="0"/>
                <w:bCs/>
                <w:i/>
              </w:rPr>
              <w:t xml:space="preserve"> Remediation of Land, Clause 4.6(4) of the relevant LEP</w:t>
            </w:r>
          </w:p>
        </w:tc>
        <w:tc>
          <w:tcPr>
            <w:tcW w:w="735" w:type="pct"/>
          </w:tcPr>
          <w:p w14:paraId="408C6D5D" w14:textId="77777777" w:rsidR="009D1556" w:rsidRPr="00FA4E2A" w:rsidRDefault="009D1556" w:rsidP="009D1556">
            <w:pPr>
              <w:pStyle w:val="TableText"/>
              <w:cnfStyle w:val="000000000000" w:firstRow="0" w:lastRow="0" w:firstColumn="0" w:lastColumn="0" w:oddVBand="0" w:evenVBand="0" w:oddHBand="0" w:evenHBand="0" w:firstRowFirstColumn="0" w:firstRowLastColumn="0" w:lastRowFirstColumn="0" w:lastRowLastColumn="0"/>
              <w:rPr>
                <w:rFonts w:cs="Arial"/>
                <w:highlight w:val="yellow"/>
              </w:rPr>
            </w:pPr>
          </w:p>
          <w:p w14:paraId="664C4EFE" w14:textId="77777777" w:rsidR="009D1556" w:rsidRPr="00FA4E2A" w:rsidRDefault="009D1556" w:rsidP="009D1556">
            <w:pPr>
              <w:pStyle w:val="TableText"/>
              <w:cnfStyle w:val="000000000000" w:firstRow="0" w:lastRow="0" w:firstColumn="0" w:lastColumn="0" w:oddVBand="0" w:evenVBand="0" w:oddHBand="0" w:evenHBand="0" w:firstRowFirstColumn="0" w:firstRowLastColumn="0" w:lastRowFirstColumn="0" w:lastRowLastColumn="0"/>
              <w:rPr>
                <w:rFonts w:cs="Arial"/>
                <w:highlight w:val="yellow"/>
              </w:rPr>
            </w:pPr>
            <w:r w:rsidRPr="006B2299">
              <w:rPr>
                <w:rFonts w:cs="Arial"/>
              </w:rPr>
              <w:t>Yes</w:t>
            </w:r>
          </w:p>
        </w:tc>
      </w:tr>
      <w:tr w:rsidR="009D1556" w:rsidRPr="00717FA5" w14:paraId="7F50E145" w14:textId="77777777" w:rsidTr="009D1556">
        <w:tc>
          <w:tcPr>
            <w:cnfStyle w:val="001000000000" w:firstRow="0" w:lastRow="0" w:firstColumn="1" w:lastColumn="0" w:oddVBand="0" w:evenVBand="0" w:oddHBand="0" w:evenHBand="0" w:firstRowFirstColumn="0" w:firstRowLastColumn="0" w:lastRowFirstColumn="0" w:lastRowLastColumn="0"/>
            <w:tcW w:w="4265" w:type="pct"/>
          </w:tcPr>
          <w:p w14:paraId="65EDBD25" w14:textId="77777777" w:rsidR="009D1556" w:rsidRPr="00913228" w:rsidRDefault="009D1556" w:rsidP="009D1556">
            <w:pPr>
              <w:pStyle w:val="TableHeadingGrey"/>
            </w:pPr>
            <w:r w:rsidRPr="00913228">
              <w:t>Clause 4.6 Exceptions to development standards</w:t>
            </w:r>
          </w:p>
          <w:p w14:paraId="6C7E1399" w14:textId="77777777" w:rsidR="009D1556" w:rsidRPr="009D1556" w:rsidRDefault="009D1556" w:rsidP="009D1556">
            <w:pPr>
              <w:pStyle w:val="TableHeadingGrey"/>
              <w:rPr>
                <w:b w:val="0"/>
                <w:bCs/>
              </w:rPr>
            </w:pPr>
            <w:r w:rsidRPr="009D1556">
              <w:rPr>
                <w:b w:val="0"/>
                <w:bCs/>
              </w:rPr>
              <w:t>If a written request for a contravention to a development standard (clause 4.6 of the LEP) has been received, has it been attached to the assessment report?</w:t>
            </w:r>
          </w:p>
        </w:tc>
        <w:tc>
          <w:tcPr>
            <w:tcW w:w="735" w:type="pct"/>
          </w:tcPr>
          <w:p w14:paraId="3BC2C8A6" w14:textId="77777777" w:rsidR="009D1556" w:rsidRPr="006B2299" w:rsidRDefault="009D1556" w:rsidP="009D1556">
            <w:pPr>
              <w:pStyle w:val="TableText"/>
              <w:cnfStyle w:val="000000000000" w:firstRow="0" w:lastRow="0" w:firstColumn="0" w:lastColumn="0" w:oddVBand="0" w:evenVBand="0" w:oddHBand="0" w:evenHBand="0" w:firstRowFirstColumn="0" w:firstRowLastColumn="0" w:lastRowFirstColumn="0" w:lastRowLastColumn="0"/>
              <w:rPr>
                <w:rFonts w:cs="Arial"/>
              </w:rPr>
            </w:pPr>
          </w:p>
          <w:p w14:paraId="3A9849B8" w14:textId="76B0FCFA" w:rsidR="009D1556" w:rsidRPr="00FA4E2A" w:rsidRDefault="007D5A6D" w:rsidP="009D1556">
            <w:pPr>
              <w:pStyle w:val="TableText"/>
              <w:cnfStyle w:val="000000000000" w:firstRow="0" w:lastRow="0" w:firstColumn="0" w:lastColumn="0" w:oddVBand="0" w:evenVBand="0" w:oddHBand="0" w:evenHBand="0" w:firstRowFirstColumn="0" w:firstRowLastColumn="0" w:lastRowFirstColumn="0" w:lastRowLastColumn="0"/>
              <w:rPr>
                <w:rFonts w:cs="Arial"/>
                <w:highlight w:val="yellow"/>
              </w:rPr>
            </w:pPr>
            <w:r w:rsidRPr="006B2299">
              <w:rPr>
                <w:rFonts w:cs="Arial"/>
              </w:rPr>
              <w:t>Yes</w:t>
            </w:r>
          </w:p>
        </w:tc>
      </w:tr>
      <w:tr w:rsidR="009D1556" w:rsidRPr="00717FA5" w14:paraId="7B711BA8" w14:textId="77777777" w:rsidTr="009D1556">
        <w:tc>
          <w:tcPr>
            <w:cnfStyle w:val="001000000000" w:firstRow="0" w:lastRow="0" w:firstColumn="1" w:lastColumn="0" w:oddVBand="0" w:evenVBand="0" w:oddHBand="0" w:evenHBand="0" w:firstRowFirstColumn="0" w:firstRowLastColumn="0" w:lastRowFirstColumn="0" w:lastRowLastColumn="0"/>
            <w:tcW w:w="4265" w:type="pct"/>
          </w:tcPr>
          <w:p w14:paraId="5CDF1491" w14:textId="77777777" w:rsidR="009D1556" w:rsidRPr="00913228" w:rsidRDefault="009D1556" w:rsidP="009D1556">
            <w:pPr>
              <w:pStyle w:val="TableHeadingGrey"/>
            </w:pPr>
            <w:r w:rsidRPr="00913228">
              <w:t>Special Infrastructure Contributions</w:t>
            </w:r>
          </w:p>
          <w:p w14:paraId="7524EC4B" w14:textId="77777777" w:rsidR="009D1556" w:rsidRPr="009D1556" w:rsidRDefault="009D1556" w:rsidP="009D1556">
            <w:pPr>
              <w:pStyle w:val="TableHeadingGrey"/>
              <w:rPr>
                <w:b w:val="0"/>
                <w:bCs/>
              </w:rPr>
            </w:pPr>
            <w:r w:rsidRPr="009D1556">
              <w:rPr>
                <w:b w:val="0"/>
                <w:bCs/>
              </w:rPr>
              <w:t>Does the DA require Special Infrastructure Contributions conditions (S7.24)?</w:t>
            </w:r>
          </w:p>
          <w:p w14:paraId="2489EF7C" w14:textId="77777777" w:rsidR="009D1556" w:rsidRPr="009D1556" w:rsidRDefault="009D1556" w:rsidP="009D1556">
            <w:pPr>
              <w:pStyle w:val="TableHeadingGrey"/>
              <w:rPr>
                <w:b w:val="0"/>
                <w:bCs/>
              </w:rPr>
            </w:pPr>
            <w:r w:rsidRPr="009D1556">
              <w:rPr>
                <w:b w:val="0"/>
                <w:bCs/>
                <w:i/>
              </w:rPr>
              <w:t>Note: Certain DAs in the Western Sydney Growth Areas Special Contributions Area may require specific Special Infrastructure Contributions (SIC) conditions</w:t>
            </w:r>
          </w:p>
        </w:tc>
        <w:tc>
          <w:tcPr>
            <w:tcW w:w="735" w:type="pct"/>
          </w:tcPr>
          <w:p w14:paraId="5AB533CC" w14:textId="77777777" w:rsidR="009D1556" w:rsidRPr="00FA4E2A" w:rsidRDefault="009D1556" w:rsidP="009D1556">
            <w:pPr>
              <w:pStyle w:val="TableText"/>
              <w:cnfStyle w:val="000000000000" w:firstRow="0" w:lastRow="0" w:firstColumn="0" w:lastColumn="0" w:oddVBand="0" w:evenVBand="0" w:oddHBand="0" w:evenHBand="0" w:firstRowFirstColumn="0" w:firstRowLastColumn="0" w:lastRowFirstColumn="0" w:lastRowLastColumn="0"/>
              <w:rPr>
                <w:rFonts w:cs="Arial"/>
                <w:highlight w:val="yellow"/>
              </w:rPr>
            </w:pPr>
          </w:p>
          <w:p w14:paraId="74910B72" w14:textId="77777777" w:rsidR="009D1556" w:rsidRPr="00FA4E2A" w:rsidRDefault="009D1556" w:rsidP="009D1556">
            <w:pPr>
              <w:pStyle w:val="TableText"/>
              <w:cnfStyle w:val="000000000000" w:firstRow="0" w:lastRow="0" w:firstColumn="0" w:lastColumn="0" w:oddVBand="0" w:evenVBand="0" w:oddHBand="0" w:evenHBand="0" w:firstRowFirstColumn="0" w:firstRowLastColumn="0" w:lastRowFirstColumn="0" w:lastRowLastColumn="0"/>
              <w:rPr>
                <w:rFonts w:cs="Arial"/>
                <w:highlight w:val="yellow"/>
              </w:rPr>
            </w:pPr>
            <w:r w:rsidRPr="006B2299">
              <w:rPr>
                <w:rFonts w:cs="Arial"/>
              </w:rPr>
              <w:t>No</w:t>
            </w:r>
          </w:p>
        </w:tc>
      </w:tr>
      <w:tr w:rsidR="000A1F96" w:rsidRPr="00717FA5" w14:paraId="359B3E40" w14:textId="77777777" w:rsidTr="009D1556">
        <w:tc>
          <w:tcPr>
            <w:cnfStyle w:val="001000000000" w:firstRow="0" w:lastRow="0" w:firstColumn="1" w:lastColumn="0" w:oddVBand="0" w:evenVBand="0" w:oddHBand="0" w:evenHBand="0" w:firstRowFirstColumn="0" w:firstRowLastColumn="0" w:lastRowFirstColumn="0" w:lastRowLastColumn="0"/>
            <w:tcW w:w="4265" w:type="pct"/>
          </w:tcPr>
          <w:p w14:paraId="034170CE" w14:textId="77777777" w:rsidR="000A1F96" w:rsidRDefault="000A1F96" w:rsidP="009D1556">
            <w:pPr>
              <w:pStyle w:val="TableHeadingGrey"/>
            </w:pPr>
            <w:r>
              <w:t>Voluntary Planning Agreements</w:t>
            </w:r>
          </w:p>
          <w:p w14:paraId="13D920FB" w14:textId="313E636E" w:rsidR="000A1F96" w:rsidRPr="000A1F96" w:rsidRDefault="000A1F96" w:rsidP="009D1556">
            <w:pPr>
              <w:pStyle w:val="TableHeadingGrey"/>
              <w:rPr>
                <w:b w:val="0"/>
                <w:bCs/>
              </w:rPr>
            </w:pPr>
            <w:r w:rsidRPr="000A1F96">
              <w:rPr>
                <w:b w:val="0"/>
                <w:bCs/>
              </w:rPr>
              <w:t>Doe</w:t>
            </w:r>
            <w:r w:rsidR="009D55DA">
              <w:rPr>
                <w:b w:val="0"/>
                <w:bCs/>
              </w:rPr>
              <w:t>s</w:t>
            </w:r>
            <w:r w:rsidRPr="000A1F96">
              <w:rPr>
                <w:b w:val="0"/>
                <w:bCs/>
              </w:rPr>
              <w:t xml:space="preserve"> the DA propose a VPA?</w:t>
            </w:r>
          </w:p>
        </w:tc>
        <w:tc>
          <w:tcPr>
            <w:tcW w:w="735" w:type="pct"/>
          </w:tcPr>
          <w:p w14:paraId="0BD2EB58" w14:textId="63F58ECF" w:rsidR="000A1F96" w:rsidRPr="00FA4E2A" w:rsidRDefault="000A1F96" w:rsidP="009D1556">
            <w:pPr>
              <w:pStyle w:val="TableText"/>
              <w:cnfStyle w:val="000000000000" w:firstRow="0" w:lastRow="0" w:firstColumn="0" w:lastColumn="0" w:oddVBand="0" w:evenVBand="0" w:oddHBand="0" w:evenHBand="0" w:firstRowFirstColumn="0" w:firstRowLastColumn="0" w:lastRowFirstColumn="0" w:lastRowLastColumn="0"/>
              <w:rPr>
                <w:rFonts w:cs="Arial"/>
                <w:highlight w:val="yellow"/>
              </w:rPr>
            </w:pPr>
            <w:r w:rsidRPr="006B2299">
              <w:rPr>
                <w:rFonts w:cs="Arial"/>
              </w:rPr>
              <w:t>N/A</w:t>
            </w:r>
          </w:p>
        </w:tc>
      </w:tr>
      <w:tr w:rsidR="009D1556" w:rsidRPr="00717FA5" w14:paraId="395A149F" w14:textId="77777777" w:rsidTr="009D1556">
        <w:tc>
          <w:tcPr>
            <w:cnfStyle w:val="001000000000" w:firstRow="0" w:lastRow="0" w:firstColumn="1" w:lastColumn="0" w:oddVBand="0" w:evenVBand="0" w:oddHBand="0" w:evenHBand="0" w:firstRowFirstColumn="0" w:firstRowLastColumn="0" w:lastRowFirstColumn="0" w:lastRowLastColumn="0"/>
            <w:tcW w:w="4265" w:type="pct"/>
          </w:tcPr>
          <w:p w14:paraId="3D3EF6FD" w14:textId="77777777" w:rsidR="009D1556" w:rsidRPr="00913228" w:rsidRDefault="009D1556" w:rsidP="009D1556">
            <w:pPr>
              <w:pStyle w:val="TableHeadingGrey"/>
            </w:pPr>
            <w:r w:rsidRPr="00913228">
              <w:t>Conditions</w:t>
            </w:r>
          </w:p>
          <w:p w14:paraId="33962499" w14:textId="77777777" w:rsidR="009D1556" w:rsidRPr="009D1556" w:rsidRDefault="009D1556" w:rsidP="009D1556">
            <w:pPr>
              <w:pStyle w:val="TableHeadingGrey"/>
              <w:rPr>
                <w:b w:val="0"/>
                <w:bCs/>
              </w:rPr>
            </w:pPr>
            <w:r w:rsidRPr="009D1556">
              <w:rPr>
                <w:b w:val="0"/>
                <w:bCs/>
              </w:rPr>
              <w:t>Have draft conditions been provided to the applicant for comment?</w:t>
            </w:r>
          </w:p>
          <w:p w14:paraId="2206CF82" w14:textId="77777777" w:rsidR="009D1556" w:rsidRPr="00913228" w:rsidRDefault="009D1556" w:rsidP="009D1556">
            <w:pPr>
              <w:pStyle w:val="TableHeadingGrey"/>
              <w:rPr>
                <w:i/>
              </w:rPr>
            </w:pPr>
            <w:r w:rsidRPr="009D1556">
              <w:rPr>
                <w:b w:val="0"/>
                <w:bCs/>
                <w:i/>
              </w:rPr>
              <w:t>Note: in order to reduce delays in determinations, the Panel prefer that draft conditions, notwithstanding Council’s recommendation, be provided to the applicant to enable any comments to be considered as part of the assessment report</w:t>
            </w:r>
          </w:p>
        </w:tc>
        <w:tc>
          <w:tcPr>
            <w:tcW w:w="735" w:type="pct"/>
          </w:tcPr>
          <w:p w14:paraId="7A538477" w14:textId="77777777" w:rsidR="009D1556" w:rsidRPr="00FA4E2A" w:rsidRDefault="009D1556" w:rsidP="009D1556">
            <w:pPr>
              <w:pStyle w:val="TableText"/>
              <w:cnfStyle w:val="000000000000" w:firstRow="0" w:lastRow="0" w:firstColumn="0" w:lastColumn="0" w:oddVBand="0" w:evenVBand="0" w:oddHBand="0" w:evenHBand="0" w:firstRowFirstColumn="0" w:firstRowLastColumn="0" w:lastRowFirstColumn="0" w:lastRowLastColumn="0"/>
              <w:rPr>
                <w:rFonts w:cs="Arial"/>
                <w:highlight w:val="yellow"/>
              </w:rPr>
            </w:pPr>
          </w:p>
          <w:p w14:paraId="710DCC0D" w14:textId="515F46BD" w:rsidR="009D1556" w:rsidRPr="00FA4E2A" w:rsidRDefault="00525B24" w:rsidP="009D1556">
            <w:pPr>
              <w:pStyle w:val="TableText"/>
              <w:cnfStyle w:val="000000000000" w:firstRow="0" w:lastRow="0" w:firstColumn="0" w:lastColumn="0" w:oddVBand="0" w:evenVBand="0" w:oddHBand="0" w:evenHBand="0" w:firstRowFirstColumn="0" w:firstRowLastColumn="0" w:lastRowFirstColumn="0" w:lastRowLastColumn="0"/>
              <w:rPr>
                <w:rFonts w:cs="Arial"/>
                <w:bCs/>
                <w:highlight w:val="yellow"/>
              </w:rPr>
            </w:pPr>
            <w:r w:rsidRPr="00612DAF">
              <w:rPr>
                <w:rFonts w:cs="Arial"/>
              </w:rPr>
              <w:t>Yes</w:t>
            </w:r>
          </w:p>
        </w:tc>
      </w:tr>
    </w:tbl>
    <w:p w14:paraId="3F958837" w14:textId="1C063886" w:rsidR="00833524" w:rsidRDefault="00833524" w:rsidP="009D1556">
      <w:pPr>
        <w:pStyle w:val="Heading2"/>
      </w:pPr>
      <w:bookmarkStart w:id="2" w:name="_Toc48230299"/>
      <w:r w:rsidRPr="00833524">
        <w:lastRenderedPageBreak/>
        <w:t>Summary</w:t>
      </w:r>
      <w:bookmarkEnd w:id="2"/>
    </w:p>
    <w:p w14:paraId="3E2749C1" w14:textId="77777777" w:rsidR="00CC4ECF" w:rsidRPr="00893B11" w:rsidRDefault="00CC4ECF" w:rsidP="00CC4ECF">
      <w:pPr>
        <w:pStyle w:val="BodyText"/>
      </w:pPr>
      <w:r>
        <w:t>The proposed development comprises the following:</w:t>
      </w:r>
    </w:p>
    <w:p w14:paraId="04453574" w14:textId="77777777" w:rsidR="00CC4ECF" w:rsidRPr="00893B11" w:rsidRDefault="00CC4ECF" w:rsidP="00CC4ECF">
      <w:pPr>
        <w:pStyle w:val="ListBullet0"/>
      </w:pPr>
      <w:r w:rsidRPr="00893B11">
        <w:t xml:space="preserve">Demolition of an existing substation that serviced the previous Council Administration building at 257 Crawford Street </w:t>
      </w:r>
    </w:p>
    <w:p w14:paraId="6E20496D" w14:textId="77777777" w:rsidR="00CC4ECF" w:rsidRPr="00893B11" w:rsidRDefault="00CC4ECF" w:rsidP="00CC4ECF">
      <w:pPr>
        <w:pStyle w:val="ListBullet0"/>
      </w:pPr>
      <w:r w:rsidRPr="00893B11">
        <w:t xml:space="preserve">Decommissioning and removal of existing substation adjacent to the previous Council Administration building </w:t>
      </w:r>
    </w:p>
    <w:p w14:paraId="67ADD3D4" w14:textId="77777777" w:rsidR="00CC4ECF" w:rsidRPr="00893B11" w:rsidRDefault="00CC4ECF" w:rsidP="00CC4ECF">
      <w:pPr>
        <w:pStyle w:val="ListBullet0"/>
      </w:pPr>
      <w:r w:rsidRPr="00893B11">
        <w:t xml:space="preserve">Construction of two new substations </w:t>
      </w:r>
    </w:p>
    <w:p w14:paraId="12A46853" w14:textId="77777777" w:rsidR="00CC4ECF" w:rsidRPr="00893B11" w:rsidRDefault="00CC4ECF" w:rsidP="00CC4ECF">
      <w:pPr>
        <w:pStyle w:val="ListBullet0"/>
      </w:pPr>
      <w:r w:rsidRPr="00893B11">
        <w:t xml:space="preserve">Partial demolition relating to Bicentennial Hall &amp; The Q Foyer / Link </w:t>
      </w:r>
    </w:p>
    <w:p w14:paraId="4842F8BE" w14:textId="77777777" w:rsidR="00CC4ECF" w:rsidRPr="00893B11" w:rsidRDefault="00CC4ECF" w:rsidP="00CC4ECF">
      <w:pPr>
        <w:pStyle w:val="ListBullet0"/>
      </w:pPr>
      <w:r w:rsidRPr="00893B11">
        <w:t xml:space="preserve">Demolition of existing structures and buildings at 10 and 12 Rutledge Street </w:t>
      </w:r>
    </w:p>
    <w:p w14:paraId="4C4D5A87" w14:textId="77777777" w:rsidR="00CC4ECF" w:rsidRPr="00893B11" w:rsidRDefault="00CC4ECF" w:rsidP="00CC4ECF">
      <w:pPr>
        <w:pStyle w:val="ListBullet0"/>
      </w:pPr>
      <w:r w:rsidRPr="00893B11">
        <w:t xml:space="preserve">Construction of a seven-storey public administration building at 257 Crawford Street (including basement) </w:t>
      </w:r>
    </w:p>
    <w:p w14:paraId="4E96CE26" w14:textId="77777777" w:rsidR="00CC4ECF" w:rsidRPr="00893B11" w:rsidRDefault="00CC4ECF" w:rsidP="00CC4ECF">
      <w:pPr>
        <w:pStyle w:val="ListBullet0"/>
      </w:pPr>
      <w:r w:rsidRPr="00893B11">
        <w:t xml:space="preserve">Establishment of a new service lane from Crawford Street </w:t>
      </w:r>
    </w:p>
    <w:p w14:paraId="0A6F713B" w14:textId="77777777" w:rsidR="00CC4ECF" w:rsidRPr="00893B11" w:rsidRDefault="00CC4ECF" w:rsidP="00CC4ECF">
      <w:pPr>
        <w:pStyle w:val="ListBullet0"/>
      </w:pPr>
      <w:r w:rsidRPr="00893B11">
        <w:t xml:space="preserve">Construction of new ground floor linkage Bicentennial Hall / The Q Foyer </w:t>
      </w:r>
    </w:p>
    <w:p w14:paraId="7057ADB6" w14:textId="77777777" w:rsidR="00CC4ECF" w:rsidRPr="00893B11" w:rsidRDefault="00CC4ECF" w:rsidP="00CC4ECF">
      <w:pPr>
        <w:pStyle w:val="ListBullet0"/>
      </w:pPr>
      <w:r w:rsidRPr="00893B11">
        <w:t xml:space="preserve">Construction of mezzanine level from Bicentennial Hall to the new public administration building </w:t>
      </w:r>
    </w:p>
    <w:p w14:paraId="6EB011AE" w14:textId="77777777" w:rsidR="00CC4ECF" w:rsidRPr="00893B11" w:rsidRDefault="00CC4ECF" w:rsidP="00CC4ECF">
      <w:pPr>
        <w:pStyle w:val="ListBullet0"/>
      </w:pPr>
      <w:r w:rsidRPr="00893B11">
        <w:t xml:space="preserve">Establishment and landscaping of a Crawford Street Plaza </w:t>
      </w:r>
    </w:p>
    <w:p w14:paraId="73A33612" w14:textId="77777777" w:rsidR="00CC4ECF" w:rsidRPr="00893B11" w:rsidRDefault="00CC4ECF" w:rsidP="00CC4ECF">
      <w:pPr>
        <w:pStyle w:val="ListBullet0"/>
      </w:pPr>
      <w:r w:rsidRPr="00893B11">
        <w:t xml:space="preserve">Establishment and landscaping of The Q Plaza </w:t>
      </w:r>
    </w:p>
    <w:p w14:paraId="067FEC38" w14:textId="0F1A7920" w:rsidR="00CC4ECF" w:rsidRDefault="00CC4ECF" w:rsidP="00CC4ECF">
      <w:pPr>
        <w:pStyle w:val="ListBullet0"/>
      </w:pPr>
      <w:r w:rsidRPr="00893B11">
        <w:t xml:space="preserve">Subdivision of the site to reconfigure the current lot alignment from six allotments into two allotments. </w:t>
      </w:r>
      <w:r>
        <w:t xml:space="preserve"> </w:t>
      </w:r>
    </w:p>
    <w:p w14:paraId="5273D86F" w14:textId="5DB2333E" w:rsidR="00CC4ECF" w:rsidRPr="00FA4E2A" w:rsidRDefault="00CC4ECF" w:rsidP="00CC4ECF">
      <w:pPr>
        <w:pStyle w:val="BodyText"/>
      </w:pPr>
      <w:r>
        <w:t>The development will result in a</w:t>
      </w:r>
      <w:r w:rsidRPr="00FA4E2A">
        <w:t xml:space="preserve"> new office building</w:t>
      </w:r>
      <w:r>
        <w:t xml:space="preserve">, comprising </w:t>
      </w:r>
      <w:r w:rsidR="00525B24">
        <w:t>8,466</w:t>
      </w:r>
      <w:r w:rsidRPr="00FA4E2A">
        <w:t>m</w:t>
      </w:r>
      <w:r w:rsidRPr="004A3DF9">
        <w:rPr>
          <w:vertAlign w:val="superscript"/>
        </w:rPr>
        <w:t>2</w:t>
      </w:r>
      <w:r w:rsidRPr="00FA4E2A">
        <w:t xml:space="preserve"> </w:t>
      </w:r>
      <w:r>
        <w:t xml:space="preserve">Gross Floor Area </w:t>
      </w:r>
      <w:r w:rsidRPr="00FA4E2A">
        <w:t>(GFA)</w:t>
      </w:r>
      <w:r>
        <w:t xml:space="preserve">, </w:t>
      </w:r>
      <w:r w:rsidRPr="00FA4E2A">
        <w:t>for the accommodation of QPRC staff (200 staff</w:t>
      </w:r>
      <w:r>
        <w:t xml:space="preserve"> </w:t>
      </w:r>
      <w:r w:rsidRPr="00FA4E2A">
        <w:t>+10% future growth) and a lettable or saleable area for occupation by a third party. The building will also</w:t>
      </w:r>
      <w:r>
        <w:t xml:space="preserve"> </w:t>
      </w:r>
      <w:r w:rsidRPr="00FA4E2A">
        <w:t xml:space="preserve">accommodate the QPRC shopfront/customer service interface, library, smart hub facilities, </w:t>
      </w:r>
      <w:r w:rsidR="00540C79">
        <w:t>public meeting spaces</w:t>
      </w:r>
      <w:r w:rsidRPr="00FA4E2A">
        <w:t>, basement car parking, building plantroom, relevant amenities and a rooftop</w:t>
      </w:r>
      <w:r>
        <w:t xml:space="preserve"> </w:t>
      </w:r>
      <w:r w:rsidRPr="00FA4E2A">
        <w:t>recreation space.</w:t>
      </w:r>
    </w:p>
    <w:p w14:paraId="6B4D9F21" w14:textId="0B624258" w:rsidR="00CC4ECF" w:rsidRPr="00FA4E2A" w:rsidRDefault="00CC4ECF" w:rsidP="003851EF">
      <w:pPr>
        <w:pStyle w:val="ListBullet0"/>
        <w:numPr>
          <w:ilvl w:val="0"/>
          <w:numId w:val="0"/>
        </w:numPr>
      </w:pPr>
      <w:r w:rsidRPr="00FA4E2A">
        <w:t>Alterations and additions to the existing Bicentennial Hall are proposed to expand the facility’s functional</w:t>
      </w:r>
      <w:r>
        <w:t xml:space="preserve"> </w:t>
      </w:r>
      <w:r w:rsidRPr="00FA4E2A">
        <w:t>capability to support conferencing events and provide both the Bicentennial Hall and “The Q” Performing Arts</w:t>
      </w:r>
      <w:r>
        <w:t xml:space="preserve"> </w:t>
      </w:r>
      <w:r w:rsidRPr="00FA4E2A">
        <w:t>Centre with an expanded foyer visible and accessible from Crawford Street.</w:t>
      </w:r>
      <w:r w:rsidR="003851EF">
        <w:t xml:space="preserve">  The e</w:t>
      </w:r>
      <w:r w:rsidRPr="00FA4E2A">
        <w:t>mbellishment of a new community open space area erected over basement carparking in the forecourt of</w:t>
      </w:r>
      <w:r>
        <w:t xml:space="preserve"> </w:t>
      </w:r>
      <w:r w:rsidRPr="00FA4E2A">
        <w:t>The Q</w:t>
      </w:r>
      <w:r w:rsidR="003851EF">
        <w:t xml:space="preserve"> is also proposed</w:t>
      </w:r>
      <w:r w:rsidR="00540C79">
        <w:t xml:space="preserve"> as is a landscaped entry plaza off Crawford Street.</w:t>
      </w:r>
    </w:p>
    <w:p w14:paraId="7EBD518D" w14:textId="2819CBF6" w:rsidR="00AA68EE" w:rsidRDefault="00AA68EE" w:rsidP="009D1556">
      <w:pPr>
        <w:pStyle w:val="Heading2"/>
      </w:pPr>
      <w:bookmarkStart w:id="3" w:name="_Toc48230300"/>
      <w:r w:rsidRPr="00833524">
        <w:t>Recommendation</w:t>
      </w:r>
      <w:bookmarkEnd w:id="3"/>
    </w:p>
    <w:p w14:paraId="00B2559E" w14:textId="0D14D14B" w:rsidR="009D55DA" w:rsidRPr="009D55DA" w:rsidRDefault="009D55DA" w:rsidP="009D55DA">
      <w:pPr>
        <w:pStyle w:val="BodyText"/>
      </w:pPr>
      <w:r w:rsidRPr="0012045E">
        <w:t xml:space="preserve">That </w:t>
      </w:r>
      <w:r w:rsidR="0012045E" w:rsidRPr="0012045E">
        <w:t>the</w:t>
      </w:r>
      <w:r w:rsidR="0012045E">
        <w:t xml:space="preserve"> </w:t>
      </w:r>
      <w:r w:rsidR="00C9376F">
        <w:t xml:space="preserve">Southern </w:t>
      </w:r>
      <w:r w:rsidR="0012045E">
        <w:t>Regional Planning Panel</w:t>
      </w:r>
      <w:r w:rsidR="00C9376F">
        <w:t xml:space="preserve"> (SRPP)</w:t>
      </w:r>
      <w:r>
        <w:t xml:space="preserve"> </w:t>
      </w:r>
      <w:r w:rsidR="00F44AD6">
        <w:t xml:space="preserve">approve </w:t>
      </w:r>
      <w:r w:rsidR="0012045E" w:rsidRPr="0012045E">
        <w:t>DA</w:t>
      </w:r>
      <w:r w:rsidR="00D926CD">
        <w:t>.</w:t>
      </w:r>
      <w:r w:rsidR="0012045E" w:rsidRPr="0012045E">
        <w:t>2020.1022</w:t>
      </w:r>
      <w:r w:rsidRPr="0012045E">
        <w:t xml:space="preserve"> </w:t>
      </w:r>
      <w:r>
        <w:t xml:space="preserve">for </w:t>
      </w:r>
      <w:r w:rsidR="00157C71">
        <w:t xml:space="preserve">the </w:t>
      </w:r>
      <w:r w:rsidR="00252DED">
        <w:t xml:space="preserve">construction of a public administration </w:t>
      </w:r>
      <w:r>
        <w:t>building</w:t>
      </w:r>
      <w:r w:rsidR="00C847D9">
        <w:t>, parking, landscaping, roads</w:t>
      </w:r>
      <w:r w:rsidR="00D926CD">
        <w:t>, demolition</w:t>
      </w:r>
      <w:r w:rsidR="00C847D9">
        <w:t xml:space="preserve"> and subdivision</w:t>
      </w:r>
      <w:r>
        <w:t xml:space="preserve"> at the site located at 257 Crawford Street, Queanbeyan, pursuant to Section 4.16(1)(a), and 4.16(4)(a) of the Environmental Planning and Assessment Act (EP&amp;A Act)</w:t>
      </w:r>
      <w:r w:rsidR="0012045E">
        <w:t xml:space="preserve"> 1979 subject to the </w:t>
      </w:r>
      <w:r w:rsidR="00B5016A">
        <w:t xml:space="preserve">draft </w:t>
      </w:r>
      <w:r w:rsidR="0012045E">
        <w:t xml:space="preserve">conditions of consent detailed at </w:t>
      </w:r>
      <w:r w:rsidR="0012045E" w:rsidRPr="0012045E">
        <w:rPr>
          <w:b/>
          <w:bCs/>
        </w:rPr>
        <w:t xml:space="preserve">Appendix </w:t>
      </w:r>
      <w:r w:rsidR="00430C15">
        <w:rPr>
          <w:b/>
          <w:bCs/>
        </w:rPr>
        <w:t>B</w:t>
      </w:r>
      <w:r w:rsidR="0012045E">
        <w:t xml:space="preserve"> of this report.</w:t>
      </w:r>
    </w:p>
    <w:p w14:paraId="0D4A1866" w14:textId="4DBCF4C0" w:rsidR="00356C78" w:rsidRDefault="00356C78" w:rsidP="00356C78">
      <w:pPr>
        <w:pStyle w:val="Heading1"/>
      </w:pPr>
      <w:bookmarkStart w:id="4" w:name="_Toc48230301"/>
      <w:r>
        <w:lastRenderedPageBreak/>
        <w:t xml:space="preserve">Site </w:t>
      </w:r>
      <w:r w:rsidR="0012045E">
        <w:t>Context</w:t>
      </w:r>
      <w:bookmarkEnd w:id="4"/>
    </w:p>
    <w:p w14:paraId="4769AFC3" w14:textId="2059E748" w:rsidR="00356C78" w:rsidRDefault="00A827B9" w:rsidP="00356C78">
      <w:pPr>
        <w:pStyle w:val="Heading2"/>
      </w:pPr>
      <w:bookmarkStart w:id="5" w:name="_Toc48230302"/>
      <w:r>
        <w:t>The site</w:t>
      </w:r>
      <w:bookmarkEnd w:id="5"/>
    </w:p>
    <w:p w14:paraId="340A6EB4" w14:textId="6B3C875E" w:rsidR="004215CB" w:rsidRPr="004215CB" w:rsidRDefault="004215CB" w:rsidP="004215CB">
      <w:pPr>
        <w:pStyle w:val="BodyText"/>
      </w:pPr>
      <w:r>
        <w:t>The site is located at 257 Crawford Street, Queanbeyan, within the Queanbeyan</w:t>
      </w:r>
      <w:r w:rsidR="00D926CD">
        <w:t>-</w:t>
      </w:r>
      <w:r>
        <w:t>Palerang Regional Council</w:t>
      </w:r>
      <w:r w:rsidR="00C9376F">
        <w:t xml:space="preserve"> (</w:t>
      </w:r>
      <w:r w:rsidR="00157C71">
        <w:t>QPRC</w:t>
      </w:r>
      <w:r w:rsidR="00C9376F">
        <w:t>)</w:t>
      </w:r>
      <w:r>
        <w:t xml:space="preserve"> Local Government Area (LGA)</w:t>
      </w:r>
      <w:r w:rsidR="0012045E">
        <w:t>.  The site</w:t>
      </w:r>
      <w:r>
        <w:t xml:space="preserve"> is currently occupied by several public buildings including The Q Queanbeyan Performing Arts Centre, Bicentennial Hall, </w:t>
      </w:r>
      <w:r w:rsidR="00126A22">
        <w:t xml:space="preserve">the historical administration </w:t>
      </w:r>
      <w:r w:rsidR="00525B24">
        <w:t>building a</w:t>
      </w:r>
      <w:r>
        <w:t xml:space="preserve"> car park</w:t>
      </w:r>
      <w:r w:rsidR="00D926CD">
        <w:t xml:space="preserve"> and a number of former residential buildings now utilised as Council offices</w:t>
      </w:r>
      <w:r>
        <w:t xml:space="preserve">. The </w:t>
      </w:r>
      <w:r w:rsidR="0012045E">
        <w:t xml:space="preserve">site </w:t>
      </w:r>
      <w:r>
        <w:t xml:space="preserve">has a frontage to Crawford Street, although site access for vehicles is currently provided via public lanes from Rutledge Street to the southeast and Lowe Street to the southwest. The site is shown in </w:t>
      </w:r>
      <w:r w:rsidRPr="0012045E">
        <w:rPr>
          <w:b/>
          <w:bCs/>
        </w:rPr>
        <w:fldChar w:fldCharType="begin"/>
      </w:r>
      <w:r w:rsidRPr="0012045E">
        <w:rPr>
          <w:b/>
          <w:bCs/>
        </w:rPr>
        <w:instrText xml:space="preserve"> REF _Ref35524224 \h </w:instrText>
      </w:r>
      <w:r w:rsidR="0012045E">
        <w:rPr>
          <w:b/>
          <w:bCs/>
        </w:rPr>
        <w:instrText xml:space="preserve"> \* MERGEFORMAT </w:instrText>
      </w:r>
      <w:r w:rsidRPr="0012045E">
        <w:rPr>
          <w:b/>
          <w:bCs/>
        </w:rPr>
      </w:r>
      <w:r w:rsidRPr="0012045E">
        <w:rPr>
          <w:b/>
          <w:bCs/>
        </w:rPr>
        <w:fldChar w:fldCharType="separate"/>
      </w:r>
      <w:r w:rsidR="008F4696" w:rsidRPr="008F4696">
        <w:rPr>
          <w:b/>
          <w:bCs/>
        </w:rPr>
        <w:t xml:space="preserve">Figure </w:t>
      </w:r>
      <w:r w:rsidR="008F4696" w:rsidRPr="008F4696">
        <w:rPr>
          <w:b/>
          <w:bCs/>
          <w:noProof/>
        </w:rPr>
        <w:t>1</w:t>
      </w:r>
      <w:r w:rsidRPr="0012045E">
        <w:rPr>
          <w:b/>
          <w:bCs/>
        </w:rPr>
        <w:fldChar w:fldCharType="end"/>
      </w:r>
      <w:r w:rsidR="0012045E">
        <w:t xml:space="preserve"> below</w:t>
      </w:r>
      <w:r w:rsidRPr="0012045E">
        <w:t>.</w:t>
      </w:r>
      <w:r>
        <w:t xml:space="preserve"> </w:t>
      </w:r>
    </w:p>
    <w:p w14:paraId="72CA4FFE" w14:textId="52F7A153" w:rsidR="00DB3050" w:rsidRPr="00782F75" w:rsidRDefault="00DB3050" w:rsidP="00CC0C52">
      <w:pPr>
        <w:pStyle w:val="Caption"/>
      </w:pPr>
      <w:bookmarkStart w:id="6" w:name="_Ref35524224"/>
      <w:bookmarkStart w:id="7" w:name="_Toc48230334"/>
      <w:r w:rsidRPr="00782F75">
        <w:t xml:space="preserve">Figure </w:t>
      </w:r>
      <w:r>
        <w:rPr>
          <w:noProof/>
        </w:rPr>
        <w:fldChar w:fldCharType="begin"/>
      </w:r>
      <w:r>
        <w:rPr>
          <w:noProof/>
        </w:rPr>
        <w:instrText xml:space="preserve"> SEQ Figure \* ARABIC </w:instrText>
      </w:r>
      <w:r>
        <w:rPr>
          <w:noProof/>
        </w:rPr>
        <w:fldChar w:fldCharType="separate"/>
      </w:r>
      <w:r w:rsidR="008F4696">
        <w:rPr>
          <w:noProof/>
        </w:rPr>
        <w:t>1</w:t>
      </w:r>
      <w:r>
        <w:rPr>
          <w:noProof/>
        </w:rPr>
        <w:fldChar w:fldCharType="end"/>
      </w:r>
      <w:bookmarkEnd w:id="6"/>
      <w:r>
        <w:tab/>
      </w:r>
      <w:r w:rsidR="00856BF8">
        <w:t>Aerial</w:t>
      </w:r>
      <w:r>
        <w:t xml:space="preserve"> photograph of the subject site</w:t>
      </w:r>
      <w:bookmarkEnd w:id="7"/>
      <w:r>
        <w:t xml:space="preserve"> </w:t>
      </w:r>
    </w:p>
    <w:p w14:paraId="566BA9B3" w14:textId="1D8CEDE1" w:rsidR="00DB3050" w:rsidRPr="00800FD3" w:rsidRDefault="00CC0C52" w:rsidP="00063908">
      <w:pPr>
        <w:pStyle w:val="FigureStyle"/>
        <w:spacing w:after="0"/>
      </w:pPr>
      <w:r>
        <w:rPr>
          <w:noProof/>
        </w:rPr>
        <w:drawing>
          <wp:inline distT="0" distB="0" distL="0" distR="0" wp14:anchorId="024C0342" wp14:editId="744887C1">
            <wp:extent cx="6400800" cy="39249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0800" cy="3924935"/>
                    </a:xfrm>
                    <a:prstGeom prst="rect">
                      <a:avLst/>
                    </a:prstGeom>
                    <a:noFill/>
                    <a:ln>
                      <a:noFill/>
                    </a:ln>
                  </pic:spPr>
                </pic:pic>
              </a:graphicData>
            </a:graphic>
          </wp:inline>
        </w:drawing>
      </w:r>
    </w:p>
    <w:p w14:paraId="4CEE0968" w14:textId="01BED10E" w:rsidR="00381405" w:rsidRPr="00063908" w:rsidRDefault="00157C71" w:rsidP="00063908">
      <w:pPr>
        <w:pStyle w:val="ListBullet0"/>
        <w:numPr>
          <w:ilvl w:val="0"/>
          <w:numId w:val="0"/>
        </w:numPr>
        <w:spacing w:before="0"/>
        <w:rPr>
          <w:sz w:val="16"/>
          <w:szCs w:val="20"/>
        </w:rPr>
      </w:pPr>
      <w:r>
        <w:rPr>
          <w:sz w:val="16"/>
          <w:szCs w:val="20"/>
        </w:rPr>
        <w:t>Source: SMEC</w:t>
      </w:r>
      <w:r w:rsidR="00DB3050" w:rsidRPr="00063908">
        <w:rPr>
          <w:sz w:val="16"/>
          <w:szCs w:val="20"/>
        </w:rPr>
        <w:t xml:space="preserve"> 2020</w:t>
      </w:r>
    </w:p>
    <w:p w14:paraId="07186DF7" w14:textId="166B0B6D" w:rsidR="00381405" w:rsidRDefault="00381405" w:rsidP="00276CA3">
      <w:pPr>
        <w:pStyle w:val="ListBullet0"/>
        <w:numPr>
          <w:ilvl w:val="0"/>
          <w:numId w:val="0"/>
        </w:numPr>
      </w:pPr>
      <w:r>
        <w:t xml:space="preserve">The site currently comprises </w:t>
      </w:r>
      <w:r w:rsidR="00DB3050">
        <w:t>six</w:t>
      </w:r>
      <w:r>
        <w:t xml:space="preserve"> lots, as follows:</w:t>
      </w:r>
    </w:p>
    <w:p w14:paraId="13E05AC1" w14:textId="24038B76" w:rsidR="00381405" w:rsidRPr="00DB3050" w:rsidRDefault="00381405" w:rsidP="00DB3050">
      <w:pPr>
        <w:pStyle w:val="ListBullet0"/>
      </w:pPr>
      <w:r w:rsidRPr="00DB3050">
        <w:t xml:space="preserve">Lot 1 </w:t>
      </w:r>
      <w:r w:rsidR="0012045E">
        <w:t>Deposited Plan (</w:t>
      </w:r>
      <w:r w:rsidR="00DB3050" w:rsidRPr="00DB3050">
        <w:t>DP</w:t>
      </w:r>
      <w:r w:rsidR="0012045E">
        <w:t>)</w:t>
      </w:r>
      <w:r w:rsidR="00DB3050" w:rsidRPr="00DB3050">
        <w:t xml:space="preserve"> 1179998</w:t>
      </w:r>
    </w:p>
    <w:p w14:paraId="1B656AF8" w14:textId="77777777" w:rsidR="00DB3050" w:rsidRPr="00DB3050" w:rsidRDefault="00DB3050" w:rsidP="00DB3050">
      <w:pPr>
        <w:pStyle w:val="ListBullet0"/>
      </w:pPr>
      <w:r w:rsidRPr="00DB3050">
        <w:t>Lot 2 DP 1179998</w:t>
      </w:r>
    </w:p>
    <w:p w14:paraId="2D2ACF12" w14:textId="1B9ABAC3" w:rsidR="00DB3050" w:rsidRPr="00DB3050" w:rsidRDefault="00DB3050" w:rsidP="00DB3050">
      <w:pPr>
        <w:pStyle w:val="ListBullet0"/>
      </w:pPr>
      <w:r w:rsidRPr="00DB3050">
        <w:t>Lot 5 DP 1179998</w:t>
      </w:r>
    </w:p>
    <w:p w14:paraId="15370E34" w14:textId="51509616" w:rsidR="00DB3050" w:rsidRPr="00DB3050" w:rsidRDefault="00DB3050" w:rsidP="00DB3050">
      <w:pPr>
        <w:pStyle w:val="ListBullet0"/>
      </w:pPr>
      <w:r w:rsidRPr="00DB3050">
        <w:t>Lot 1 DP 748338</w:t>
      </w:r>
    </w:p>
    <w:p w14:paraId="7F879D0C" w14:textId="49B21EB3" w:rsidR="00DB3050" w:rsidRPr="00DB3050" w:rsidRDefault="00DB3050" w:rsidP="00DB3050">
      <w:pPr>
        <w:pStyle w:val="ListBullet0"/>
      </w:pPr>
      <w:r w:rsidRPr="00DB3050">
        <w:t>Lot 2 DP 748338</w:t>
      </w:r>
    </w:p>
    <w:p w14:paraId="18A41363" w14:textId="21FD3E73" w:rsidR="00DB3050" w:rsidRPr="00DB3050" w:rsidRDefault="00DB3050" w:rsidP="00DB3050">
      <w:pPr>
        <w:pStyle w:val="ListBullet0"/>
      </w:pPr>
      <w:r w:rsidRPr="00DB3050">
        <w:t>Lot 18 DP 548244</w:t>
      </w:r>
    </w:p>
    <w:p w14:paraId="0A51BDE8" w14:textId="2B3D0A8B" w:rsidR="004215CB" w:rsidRDefault="004215CB" w:rsidP="004215CB">
      <w:pPr>
        <w:pStyle w:val="BodyText"/>
      </w:pPr>
      <w:r>
        <w:t>The subject site also comprises part of an unnamed public lane, connecting Rutledge Street to the surface car park.</w:t>
      </w:r>
    </w:p>
    <w:p w14:paraId="40E5D834" w14:textId="178D6DDA" w:rsidR="00356C78" w:rsidRDefault="00A827B9" w:rsidP="00356C78">
      <w:pPr>
        <w:pStyle w:val="Heading2"/>
      </w:pPr>
      <w:bookmarkStart w:id="8" w:name="_Toc48230303"/>
      <w:r>
        <w:lastRenderedPageBreak/>
        <w:t>Description of existing development</w:t>
      </w:r>
      <w:bookmarkEnd w:id="8"/>
    </w:p>
    <w:p w14:paraId="27BC0130" w14:textId="3EEBB7FE" w:rsidR="00FA4E2A" w:rsidRDefault="00063908" w:rsidP="00D926CD">
      <w:pPr>
        <w:pStyle w:val="BodyText"/>
        <w:spacing w:line="120" w:lineRule="atLeast"/>
      </w:pPr>
      <w:r>
        <w:t xml:space="preserve">The subject site contains several existing buildings </w:t>
      </w:r>
      <w:r w:rsidR="002058BD">
        <w:t xml:space="preserve">and uses </w:t>
      </w:r>
      <w:r>
        <w:t>as follows:</w:t>
      </w:r>
    </w:p>
    <w:p w14:paraId="49D9CFCD" w14:textId="5155B700" w:rsidR="007D0190" w:rsidRDefault="007D0190" w:rsidP="007D0190">
      <w:pPr>
        <w:pStyle w:val="TableCaption"/>
      </w:pPr>
      <w:bookmarkStart w:id="9" w:name="_Toc48230343"/>
      <w:r>
        <w:t>Table </w:t>
      </w:r>
      <w:r w:rsidR="0070791B">
        <w:rPr>
          <w:noProof/>
        </w:rPr>
        <w:fldChar w:fldCharType="begin"/>
      </w:r>
      <w:r w:rsidR="0070791B">
        <w:rPr>
          <w:noProof/>
        </w:rPr>
        <w:instrText xml:space="preserve"> SEQ Table \* ARABIC </w:instrText>
      </w:r>
      <w:r w:rsidR="0070791B">
        <w:rPr>
          <w:noProof/>
        </w:rPr>
        <w:fldChar w:fldCharType="separate"/>
      </w:r>
      <w:r w:rsidR="008F4696">
        <w:rPr>
          <w:noProof/>
        </w:rPr>
        <w:t>1</w:t>
      </w:r>
      <w:r w:rsidR="0070791B">
        <w:rPr>
          <w:noProof/>
        </w:rPr>
        <w:fldChar w:fldCharType="end"/>
      </w:r>
      <w:r>
        <w:tab/>
      </w:r>
      <w:r w:rsidR="00856BF8">
        <w:t>Existing development at subject site</w:t>
      </w:r>
      <w:bookmarkEnd w:id="9"/>
    </w:p>
    <w:tbl>
      <w:tblPr>
        <w:tblStyle w:val="GreenLinedTable"/>
        <w:tblW w:w="5000" w:type="pct"/>
        <w:tblLayout w:type="fixed"/>
        <w:tblLook w:val="0620" w:firstRow="1" w:lastRow="0" w:firstColumn="0" w:lastColumn="0" w:noHBand="1" w:noVBand="1"/>
      </w:tblPr>
      <w:tblGrid>
        <w:gridCol w:w="1985"/>
        <w:gridCol w:w="8107"/>
      </w:tblGrid>
      <w:tr w:rsidR="007D0190" w14:paraId="1BC5F7BC" w14:textId="77777777" w:rsidTr="00B41337">
        <w:trPr>
          <w:cnfStyle w:val="100000000000" w:firstRow="1" w:lastRow="0" w:firstColumn="0" w:lastColumn="0" w:oddVBand="0" w:evenVBand="0" w:oddHBand="0" w:evenHBand="0" w:firstRowFirstColumn="0" w:firstRowLastColumn="0" w:lastRowFirstColumn="0" w:lastRowLastColumn="0"/>
          <w:tblHeader/>
        </w:trPr>
        <w:tc>
          <w:tcPr>
            <w:tcW w:w="1985" w:type="dxa"/>
          </w:tcPr>
          <w:p w14:paraId="3884B0E4" w14:textId="25310865" w:rsidR="007D0190" w:rsidRDefault="007D0190" w:rsidP="007D0190">
            <w:pPr>
              <w:pStyle w:val="TableHeadingGrey"/>
            </w:pPr>
            <w:r>
              <w:t>Lot</w:t>
            </w:r>
          </w:p>
        </w:tc>
        <w:tc>
          <w:tcPr>
            <w:tcW w:w="8107" w:type="dxa"/>
          </w:tcPr>
          <w:p w14:paraId="5582F38B" w14:textId="0AB9AE1B" w:rsidR="007D0190" w:rsidRDefault="007D0190" w:rsidP="007D0190">
            <w:pPr>
              <w:pStyle w:val="TableHeadingGrey"/>
            </w:pPr>
            <w:r>
              <w:t>Buildings and uses</w:t>
            </w:r>
          </w:p>
        </w:tc>
      </w:tr>
      <w:tr w:rsidR="007D0190" w14:paraId="30223CC5" w14:textId="77777777" w:rsidTr="00B41337">
        <w:tc>
          <w:tcPr>
            <w:tcW w:w="1985" w:type="dxa"/>
          </w:tcPr>
          <w:p w14:paraId="14BDB1C7" w14:textId="438CEA1E" w:rsidR="007D0190" w:rsidRDefault="007D0190" w:rsidP="007D0190">
            <w:pPr>
              <w:pStyle w:val="TableText"/>
            </w:pPr>
            <w:r w:rsidRPr="00DB3050">
              <w:t>Lot 1 DP 1179998</w:t>
            </w:r>
          </w:p>
        </w:tc>
        <w:tc>
          <w:tcPr>
            <w:tcW w:w="8107" w:type="dxa"/>
          </w:tcPr>
          <w:p w14:paraId="61873A04" w14:textId="3F647453" w:rsidR="007D0190" w:rsidRDefault="007D0190" w:rsidP="003F50F4">
            <w:pPr>
              <w:pStyle w:val="TableText"/>
            </w:pPr>
            <w:r>
              <w:t xml:space="preserve">Former School of Arts building, a historical building with </w:t>
            </w:r>
            <w:r w:rsidR="00FB5670">
              <w:t xml:space="preserve">a </w:t>
            </w:r>
            <w:r>
              <w:t xml:space="preserve">frontage to Crawford Street. It </w:t>
            </w:r>
            <w:r w:rsidR="00D926CD">
              <w:t>is currently used as the Council Chambers and Executive Offices.</w:t>
            </w:r>
          </w:p>
          <w:p w14:paraId="48D07242" w14:textId="3A3AEEDC" w:rsidR="007D0190" w:rsidRDefault="007D0190" w:rsidP="003F50F4">
            <w:pPr>
              <w:pStyle w:val="TableText"/>
            </w:pPr>
            <w:r>
              <w:t>Bicentennial Hall, a community centre</w:t>
            </w:r>
            <w:r w:rsidR="003F50F4">
              <w:t xml:space="preserve"> located at the rear of the former School of Arts building with no direct street frontage. It</w:t>
            </w:r>
            <w:r>
              <w:t xml:space="preserve"> hosts large public and private gatherings</w:t>
            </w:r>
            <w:r w:rsidR="00D926CD">
              <w:t xml:space="preserve"> and is effectively the City’s Town Hall</w:t>
            </w:r>
            <w:r w:rsidR="003F50F4">
              <w:t>.</w:t>
            </w:r>
          </w:p>
          <w:p w14:paraId="4C59E7E6" w14:textId="08D57DAA" w:rsidR="007D0190" w:rsidRDefault="007D0190" w:rsidP="003F50F4">
            <w:pPr>
              <w:pStyle w:val="TableText"/>
            </w:pPr>
            <w:r>
              <w:t>The Q Queanbeyan Performing Arts Centre,</w:t>
            </w:r>
            <w:r w:rsidR="003F50F4">
              <w:t xml:space="preserve"> located at the rear of the Bicentennial Hall and with no direct street frontage. The building</w:t>
            </w:r>
            <w:r>
              <w:t xml:space="preserve"> contains a theatre, function spaces and exhibition spaces</w:t>
            </w:r>
            <w:r w:rsidR="003F50F4">
              <w:t>.</w:t>
            </w:r>
          </w:p>
        </w:tc>
      </w:tr>
      <w:tr w:rsidR="007D0190" w14:paraId="19C3E297" w14:textId="77777777" w:rsidTr="00B41337">
        <w:tc>
          <w:tcPr>
            <w:tcW w:w="1985" w:type="dxa"/>
          </w:tcPr>
          <w:p w14:paraId="2C821FB8" w14:textId="34CEB40E" w:rsidR="007D0190" w:rsidRDefault="007D0190" w:rsidP="007D0190">
            <w:pPr>
              <w:pStyle w:val="TableText"/>
            </w:pPr>
            <w:r w:rsidRPr="00DB3050">
              <w:t>Lot 2 DP 1179998</w:t>
            </w:r>
          </w:p>
        </w:tc>
        <w:tc>
          <w:tcPr>
            <w:tcW w:w="8107" w:type="dxa"/>
          </w:tcPr>
          <w:p w14:paraId="3DBEDEEB" w14:textId="77777777" w:rsidR="00A35DAD" w:rsidRDefault="00A35DAD" w:rsidP="00A35DAD">
            <w:pPr>
              <w:pStyle w:val="TableText"/>
            </w:pPr>
            <w:r>
              <w:t>Former fire station, a historical building with frontage to Crawford Street.</w:t>
            </w:r>
          </w:p>
          <w:p w14:paraId="04A643D0" w14:textId="77777777" w:rsidR="007D0190" w:rsidRDefault="00A35DAD" w:rsidP="007D0190">
            <w:pPr>
              <w:pStyle w:val="TableText"/>
            </w:pPr>
            <w:r>
              <w:t xml:space="preserve">Dutton’s Cottage, a historical building with frontage to Crawford Street. </w:t>
            </w:r>
          </w:p>
          <w:p w14:paraId="17079AA1" w14:textId="1B2EB1D7" w:rsidR="004523B1" w:rsidRDefault="004523B1" w:rsidP="007D0190">
            <w:pPr>
              <w:pStyle w:val="TableText"/>
            </w:pPr>
            <w:r>
              <w:t xml:space="preserve">Former dwellings converted into </w:t>
            </w:r>
            <w:r w:rsidR="00B85471">
              <w:t>offices.</w:t>
            </w:r>
          </w:p>
        </w:tc>
      </w:tr>
      <w:tr w:rsidR="007D0190" w14:paraId="741DBEE1" w14:textId="77777777" w:rsidTr="00B41337">
        <w:tc>
          <w:tcPr>
            <w:tcW w:w="1985" w:type="dxa"/>
          </w:tcPr>
          <w:p w14:paraId="0AD87501" w14:textId="338CEEF9" w:rsidR="007D0190" w:rsidRDefault="007D0190" w:rsidP="007D0190">
            <w:pPr>
              <w:pStyle w:val="TableText"/>
            </w:pPr>
            <w:r w:rsidRPr="00DB3050">
              <w:t>Lot 5 DP 1179998</w:t>
            </w:r>
          </w:p>
        </w:tc>
        <w:tc>
          <w:tcPr>
            <w:tcW w:w="8107" w:type="dxa"/>
          </w:tcPr>
          <w:p w14:paraId="2D0D590B" w14:textId="4B620964" w:rsidR="007D0190" w:rsidRDefault="00B85471" w:rsidP="007D0190">
            <w:pPr>
              <w:pStyle w:val="TableText"/>
            </w:pPr>
            <w:r>
              <w:t>Lowe Street Car Park</w:t>
            </w:r>
          </w:p>
        </w:tc>
      </w:tr>
      <w:tr w:rsidR="007D0190" w14:paraId="1716A83E" w14:textId="77777777" w:rsidTr="00B41337">
        <w:tc>
          <w:tcPr>
            <w:tcW w:w="1985" w:type="dxa"/>
          </w:tcPr>
          <w:p w14:paraId="3430AD4F" w14:textId="7A6AFCB3" w:rsidR="007D0190" w:rsidRDefault="007D0190" w:rsidP="007D0190">
            <w:pPr>
              <w:pStyle w:val="TableText"/>
            </w:pPr>
            <w:r w:rsidRPr="00DB3050">
              <w:t>Lot 1 DP 748338</w:t>
            </w:r>
          </w:p>
        </w:tc>
        <w:tc>
          <w:tcPr>
            <w:tcW w:w="8107" w:type="dxa"/>
          </w:tcPr>
          <w:p w14:paraId="4A757502" w14:textId="3250073B" w:rsidR="007D0190" w:rsidRDefault="00FB5670" w:rsidP="007D0190">
            <w:pPr>
              <w:pStyle w:val="TableText"/>
            </w:pPr>
            <w:r>
              <w:t>No structures</w:t>
            </w:r>
          </w:p>
        </w:tc>
      </w:tr>
      <w:tr w:rsidR="007D0190" w14:paraId="02B99B43" w14:textId="77777777" w:rsidTr="00B41337">
        <w:tc>
          <w:tcPr>
            <w:tcW w:w="1985" w:type="dxa"/>
          </w:tcPr>
          <w:p w14:paraId="5B41162F" w14:textId="1AE255DB" w:rsidR="007D0190" w:rsidRDefault="007D0190" w:rsidP="007D0190">
            <w:pPr>
              <w:pStyle w:val="TableText"/>
            </w:pPr>
            <w:r w:rsidRPr="00DB3050">
              <w:t>Lot 2 DP 748338</w:t>
            </w:r>
          </w:p>
        </w:tc>
        <w:tc>
          <w:tcPr>
            <w:tcW w:w="8107" w:type="dxa"/>
          </w:tcPr>
          <w:p w14:paraId="6AFCE3BC" w14:textId="04A88011" w:rsidR="007D0190" w:rsidRDefault="00B85471" w:rsidP="007D0190">
            <w:pPr>
              <w:pStyle w:val="TableText"/>
            </w:pPr>
            <w:r>
              <w:t>Two st</w:t>
            </w:r>
            <w:r w:rsidR="00FB5670">
              <w:t>orey building, used for offices</w:t>
            </w:r>
          </w:p>
        </w:tc>
      </w:tr>
      <w:tr w:rsidR="007D0190" w14:paraId="318577B1" w14:textId="77777777" w:rsidTr="00B41337">
        <w:tc>
          <w:tcPr>
            <w:tcW w:w="1985" w:type="dxa"/>
          </w:tcPr>
          <w:p w14:paraId="25860579" w14:textId="5E13A7BE" w:rsidR="007D0190" w:rsidRDefault="007D0190" w:rsidP="007D0190">
            <w:pPr>
              <w:pStyle w:val="TableText"/>
            </w:pPr>
            <w:r w:rsidRPr="00DB3050">
              <w:t>Lot 18 DP 548244</w:t>
            </w:r>
          </w:p>
        </w:tc>
        <w:tc>
          <w:tcPr>
            <w:tcW w:w="8107" w:type="dxa"/>
          </w:tcPr>
          <w:p w14:paraId="218CCC47" w14:textId="46330988" w:rsidR="007D0190" w:rsidRDefault="00B85471" w:rsidP="007D0190">
            <w:pPr>
              <w:pStyle w:val="TableText"/>
            </w:pPr>
            <w:r>
              <w:t>Former two storey residential building, converted into offices (Queanbeyan Multilingual Centre)</w:t>
            </w:r>
          </w:p>
        </w:tc>
      </w:tr>
    </w:tbl>
    <w:p w14:paraId="5567861B" w14:textId="6BB4B719" w:rsidR="00E104F8" w:rsidRPr="00782F75" w:rsidRDefault="00E104F8" w:rsidP="000824CC">
      <w:pPr>
        <w:pStyle w:val="Caption"/>
      </w:pPr>
      <w:bookmarkStart w:id="10" w:name="_Toc48230335"/>
      <w:r w:rsidRPr="00782F75">
        <w:t xml:space="preserve">Figure </w:t>
      </w:r>
      <w:r>
        <w:rPr>
          <w:noProof/>
        </w:rPr>
        <w:fldChar w:fldCharType="begin"/>
      </w:r>
      <w:r>
        <w:rPr>
          <w:noProof/>
        </w:rPr>
        <w:instrText xml:space="preserve"> SEQ Figure \* ARABIC </w:instrText>
      </w:r>
      <w:r>
        <w:rPr>
          <w:noProof/>
        </w:rPr>
        <w:fldChar w:fldCharType="separate"/>
      </w:r>
      <w:r w:rsidR="008F4696">
        <w:rPr>
          <w:noProof/>
        </w:rPr>
        <w:t>2</w:t>
      </w:r>
      <w:r>
        <w:rPr>
          <w:noProof/>
        </w:rPr>
        <w:fldChar w:fldCharType="end"/>
      </w:r>
      <w:r>
        <w:tab/>
        <w:t xml:space="preserve">Site </w:t>
      </w:r>
      <w:r w:rsidR="00B41337">
        <w:t>Context Plan</w:t>
      </w:r>
      <w:bookmarkEnd w:id="10"/>
    </w:p>
    <w:p w14:paraId="4246F94A" w14:textId="77777777" w:rsidR="00FB5670" w:rsidRDefault="00B41337" w:rsidP="00FB5670">
      <w:pPr>
        <w:pStyle w:val="FigureStyle"/>
      </w:pPr>
      <w:r>
        <w:rPr>
          <w:noProof/>
        </w:rPr>
        <w:drawing>
          <wp:inline distT="0" distB="0" distL="0" distR="0" wp14:anchorId="1D4C1A24" wp14:editId="569FCE41">
            <wp:extent cx="5167222" cy="358783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91059" cy="3604387"/>
                    </a:xfrm>
                    <a:prstGeom prst="rect">
                      <a:avLst/>
                    </a:prstGeom>
                    <a:noFill/>
                    <a:ln>
                      <a:noFill/>
                    </a:ln>
                  </pic:spPr>
                </pic:pic>
              </a:graphicData>
            </a:graphic>
          </wp:inline>
        </w:drawing>
      </w:r>
    </w:p>
    <w:p w14:paraId="17B50AAF" w14:textId="04656E59" w:rsidR="00B41337" w:rsidRPr="00FB5670" w:rsidRDefault="00FB5670" w:rsidP="00FB5670">
      <w:pPr>
        <w:pStyle w:val="FigureStyle"/>
      </w:pPr>
      <w:r w:rsidRPr="00FB5670">
        <w:rPr>
          <w:sz w:val="16"/>
          <w:szCs w:val="16"/>
        </w:rPr>
        <w:t xml:space="preserve">Source: </w:t>
      </w:r>
      <w:proofErr w:type="spellStart"/>
      <w:r w:rsidRPr="00FB5670">
        <w:rPr>
          <w:sz w:val="16"/>
          <w:szCs w:val="16"/>
        </w:rPr>
        <w:t>Oxigen</w:t>
      </w:r>
      <w:proofErr w:type="spellEnd"/>
      <w:r w:rsidRPr="00FB5670">
        <w:rPr>
          <w:sz w:val="16"/>
          <w:szCs w:val="16"/>
        </w:rPr>
        <w:t>, 2019</w:t>
      </w:r>
    </w:p>
    <w:p w14:paraId="39E496B4" w14:textId="2B72D356" w:rsidR="00356C78" w:rsidRDefault="00356C78" w:rsidP="00356C78">
      <w:pPr>
        <w:pStyle w:val="Heading2"/>
      </w:pPr>
      <w:bookmarkStart w:id="11" w:name="_Toc48230304"/>
      <w:r>
        <w:lastRenderedPageBreak/>
        <w:t>Surrounding development</w:t>
      </w:r>
      <w:bookmarkEnd w:id="11"/>
    </w:p>
    <w:p w14:paraId="46A848EA" w14:textId="1FD286F4" w:rsidR="00856BF8" w:rsidRDefault="00856BF8" w:rsidP="00856BF8">
      <w:pPr>
        <w:pStyle w:val="BodyText"/>
      </w:pPr>
      <w:r>
        <w:t>The subject site is located within the southeast corner of the Queanbeyan</w:t>
      </w:r>
      <w:r w:rsidR="00F01A00">
        <w:t xml:space="preserve"> Central Business District</w:t>
      </w:r>
      <w:r>
        <w:t xml:space="preserve"> </w:t>
      </w:r>
      <w:r w:rsidR="00F01A00">
        <w:t>(</w:t>
      </w:r>
      <w:r>
        <w:t>CBD</w:t>
      </w:r>
      <w:r w:rsidR="00F01A00">
        <w:t>)</w:t>
      </w:r>
      <w:r>
        <w:t>. Monaro Street</w:t>
      </w:r>
      <w:r w:rsidR="00F01A00">
        <w:t>, the main street within the Queanbeyan CBD,</w:t>
      </w:r>
      <w:r>
        <w:t xml:space="preserve"> is located to the northwest and northeast.</w:t>
      </w:r>
      <w:r w:rsidR="00F01A00">
        <w:t xml:space="preserve">  Monaro Street</w:t>
      </w:r>
      <w:r>
        <w:t xml:space="preserve"> contains various commercial uses such as </w:t>
      </w:r>
      <w:r w:rsidR="00D93D6F">
        <w:t>office</w:t>
      </w:r>
      <w:r w:rsidR="00F01A00">
        <w:t>s</w:t>
      </w:r>
      <w:r w:rsidR="00D93D6F">
        <w:t xml:space="preserve"> and </w:t>
      </w:r>
      <w:r>
        <w:t>retail</w:t>
      </w:r>
      <w:r w:rsidR="00D93D6F">
        <w:t xml:space="preserve"> premises</w:t>
      </w:r>
      <w:r>
        <w:t>,</w:t>
      </w:r>
      <w:r w:rsidR="00D93D6F">
        <w:t xml:space="preserve"> as well as</w:t>
      </w:r>
      <w:r>
        <w:t xml:space="preserve"> pubs, restaurants and cafes. </w:t>
      </w:r>
      <w:r w:rsidR="00D93D6F">
        <w:t>Development along Monaro Street is generally two storey</w:t>
      </w:r>
      <w:r w:rsidR="00F01A00">
        <w:t>s</w:t>
      </w:r>
      <w:r w:rsidR="00D93D6F">
        <w:t xml:space="preserve">, with buildings built to lot boundaries. </w:t>
      </w:r>
    </w:p>
    <w:p w14:paraId="0F708540" w14:textId="2172737A" w:rsidR="00856BF8" w:rsidRDefault="00856BF8" w:rsidP="00856BF8">
      <w:pPr>
        <w:pStyle w:val="BodyText"/>
      </w:pPr>
      <w:r>
        <w:t>Crawford Street</w:t>
      </w:r>
      <w:r w:rsidR="00F01A00">
        <w:t>, on which the site is located,</w:t>
      </w:r>
      <w:r>
        <w:t xml:space="preserve"> contains commercial and community uses such as bank</w:t>
      </w:r>
      <w:r w:rsidR="00F01A00">
        <w:t>s</w:t>
      </w:r>
      <w:r>
        <w:t>, churches, offices and the existing Council administration building</w:t>
      </w:r>
      <w:r w:rsidR="00D93D6F">
        <w:t xml:space="preserve">. Crawford Street contains lower density development compared to Monaro Street, with a greater mix of single storey buildings, greater separation between buildings and wider footpaths with street trees. </w:t>
      </w:r>
    </w:p>
    <w:p w14:paraId="787ED002" w14:textId="3EC4D8AD" w:rsidR="00D93D6F" w:rsidRDefault="00D93D6F" w:rsidP="00856BF8">
      <w:pPr>
        <w:pStyle w:val="BodyText"/>
      </w:pPr>
      <w:r>
        <w:t>Surrounding development further south and east is increasingly residential and includes additional community uses such as the Queanbeyan Uniting Church and Saint Benedict’s Community Centre.</w:t>
      </w:r>
    </w:p>
    <w:p w14:paraId="393514CD" w14:textId="0C466CB2" w:rsidR="00E104F8" w:rsidRPr="00782F75" w:rsidRDefault="00E104F8" w:rsidP="000824CC">
      <w:pPr>
        <w:pStyle w:val="Caption"/>
      </w:pPr>
      <w:bookmarkStart w:id="12" w:name="_Toc48230336"/>
      <w:r w:rsidRPr="00782F75">
        <w:t xml:space="preserve">Figure </w:t>
      </w:r>
      <w:r>
        <w:rPr>
          <w:noProof/>
        </w:rPr>
        <w:fldChar w:fldCharType="begin"/>
      </w:r>
      <w:r>
        <w:rPr>
          <w:noProof/>
        </w:rPr>
        <w:instrText xml:space="preserve"> SEQ Figure \* ARABIC </w:instrText>
      </w:r>
      <w:r>
        <w:rPr>
          <w:noProof/>
        </w:rPr>
        <w:fldChar w:fldCharType="separate"/>
      </w:r>
      <w:r w:rsidR="008F4696">
        <w:rPr>
          <w:noProof/>
        </w:rPr>
        <w:t>3</w:t>
      </w:r>
      <w:r>
        <w:rPr>
          <w:noProof/>
        </w:rPr>
        <w:fldChar w:fldCharType="end"/>
      </w:r>
      <w:r>
        <w:tab/>
      </w:r>
      <w:r w:rsidR="00302E73">
        <w:t>Surrounding development character</w:t>
      </w:r>
      <w:bookmarkEnd w:id="12"/>
      <w:r w:rsidR="00302E73">
        <w:t xml:space="preserve"> </w:t>
      </w:r>
    </w:p>
    <w:p w14:paraId="74685C6C" w14:textId="696A7585" w:rsidR="00302E73" w:rsidRPr="00FB5670" w:rsidRDefault="00302E73" w:rsidP="00FB5670">
      <w:pPr>
        <w:pStyle w:val="FigureStyle"/>
      </w:pPr>
      <w:r>
        <w:rPr>
          <w:noProof/>
        </w:rPr>
        <w:drawing>
          <wp:inline distT="0" distB="0" distL="0" distR="0" wp14:anchorId="70A17AD4" wp14:editId="463F25CF">
            <wp:extent cx="6411595" cy="3306445"/>
            <wp:effectExtent l="0" t="0" r="825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11595" cy="3306445"/>
                    </a:xfrm>
                    <a:prstGeom prst="rect">
                      <a:avLst/>
                    </a:prstGeom>
                    <a:noFill/>
                    <a:ln>
                      <a:noFill/>
                    </a:ln>
                  </pic:spPr>
                </pic:pic>
              </a:graphicData>
            </a:graphic>
          </wp:inline>
        </w:drawing>
      </w:r>
      <w:r w:rsidR="00FB5670" w:rsidRPr="00FB5670">
        <w:rPr>
          <w:sz w:val="16"/>
          <w:szCs w:val="16"/>
        </w:rPr>
        <w:t xml:space="preserve">Source: </w:t>
      </w:r>
      <w:proofErr w:type="spellStart"/>
      <w:r w:rsidR="00FB5670" w:rsidRPr="00FB5670">
        <w:rPr>
          <w:sz w:val="16"/>
          <w:szCs w:val="16"/>
        </w:rPr>
        <w:t>Oxigen</w:t>
      </w:r>
      <w:proofErr w:type="spellEnd"/>
      <w:r w:rsidR="00FB5670" w:rsidRPr="00FB5670">
        <w:rPr>
          <w:sz w:val="16"/>
          <w:szCs w:val="16"/>
        </w:rPr>
        <w:t xml:space="preserve"> 2019</w:t>
      </w:r>
    </w:p>
    <w:p w14:paraId="01E4D703" w14:textId="77777777" w:rsidR="00302E73" w:rsidRPr="00800FD3" w:rsidRDefault="00302E73" w:rsidP="000824CC">
      <w:pPr>
        <w:pStyle w:val="FigureStyle"/>
      </w:pPr>
    </w:p>
    <w:p w14:paraId="02B4290B" w14:textId="4B3CC27C" w:rsidR="00356C78" w:rsidRDefault="00356C78" w:rsidP="00356C78">
      <w:pPr>
        <w:pStyle w:val="Heading1"/>
      </w:pPr>
      <w:bookmarkStart w:id="13" w:name="_Toc48230305"/>
      <w:r>
        <w:lastRenderedPageBreak/>
        <w:t>Proposed development</w:t>
      </w:r>
      <w:bookmarkEnd w:id="13"/>
    </w:p>
    <w:p w14:paraId="24197C63" w14:textId="0E9E2890" w:rsidR="00CC4ECF" w:rsidRDefault="00894765" w:rsidP="00A35DAD">
      <w:pPr>
        <w:pStyle w:val="BodyText"/>
        <w:rPr>
          <w:rFonts w:eastAsiaTheme="minorHAnsi"/>
        </w:rPr>
      </w:pPr>
      <w:r>
        <w:rPr>
          <w:rFonts w:eastAsiaTheme="minorHAnsi"/>
        </w:rPr>
        <w:t xml:space="preserve">The </w:t>
      </w:r>
      <w:r w:rsidR="00FB5670">
        <w:rPr>
          <w:rFonts w:eastAsiaTheme="minorHAnsi"/>
        </w:rPr>
        <w:t>DA</w:t>
      </w:r>
      <w:r w:rsidR="00F01A00">
        <w:rPr>
          <w:rFonts w:eastAsiaTheme="minorHAnsi"/>
        </w:rPr>
        <w:t xml:space="preserve"> proposes</w:t>
      </w:r>
      <w:r>
        <w:rPr>
          <w:rFonts w:eastAsiaTheme="minorHAnsi"/>
        </w:rPr>
        <w:t xml:space="preserve"> the construction of a </w:t>
      </w:r>
      <w:r w:rsidR="00CC4ECF">
        <w:rPr>
          <w:rFonts w:eastAsiaTheme="minorHAnsi"/>
        </w:rPr>
        <w:t>seven-storey</w:t>
      </w:r>
      <w:r>
        <w:rPr>
          <w:rFonts w:eastAsiaTheme="minorHAnsi"/>
        </w:rPr>
        <w:t xml:space="preserve"> office building, referred to as the Civic and Cultural </w:t>
      </w:r>
      <w:r w:rsidR="00CC4ECF">
        <w:rPr>
          <w:rFonts w:eastAsiaTheme="minorHAnsi"/>
        </w:rPr>
        <w:t>Centre</w:t>
      </w:r>
      <w:r w:rsidR="00785704">
        <w:rPr>
          <w:rFonts w:eastAsiaTheme="minorHAnsi"/>
        </w:rPr>
        <w:t>, as well as ancillary development</w:t>
      </w:r>
      <w:r w:rsidR="00CC4ECF">
        <w:rPr>
          <w:rFonts w:eastAsiaTheme="minorHAnsi"/>
        </w:rPr>
        <w:t>,</w:t>
      </w:r>
      <w:r w:rsidR="00785704">
        <w:rPr>
          <w:rFonts w:eastAsiaTheme="minorHAnsi"/>
        </w:rPr>
        <w:t xml:space="preserve"> including public realm improvements, roadworks, demolition works, and subdivision</w:t>
      </w:r>
      <w:r>
        <w:rPr>
          <w:rFonts w:eastAsiaTheme="minorHAnsi"/>
        </w:rPr>
        <w:t xml:space="preserve">. </w:t>
      </w:r>
    </w:p>
    <w:p w14:paraId="065AB74D" w14:textId="0F873570" w:rsidR="00A35DAD" w:rsidRPr="00893B11" w:rsidRDefault="00A35DAD" w:rsidP="00A35DAD">
      <w:pPr>
        <w:pStyle w:val="BodyText"/>
      </w:pPr>
      <w:r>
        <w:t>The proposed development comprises the following:</w:t>
      </w:r>
    </w:p>
    <w:p w14:paraId="6136C52F" w14:textId="77777777" w:rsidR="00A35DAD" w:rsidRPr="00893B11" w:rsidRDefault="00A35DAD" w:rsidP="00A35DAD">
      <w:pPr>
        <w:pStyle w:val="ListBullet0"/>
      </w:pPr>
      <w:r w:rsidRPr="00893B11">
        <w:t xml:space="preserve">Demolition of an existing substation that serviced the previous Council Administration building at 257 Crawford Street </w:t>
      </w:r>
    </w:p>
    <w:p w14:paraId="0D378F78" w14:textId="3813717E" w:rsidR="00A35DAD" w:rsidRPr="00893B11" w:rsidRDefault="00A35DAD" w:rsidP="00A35DAD">
      <w:pPr>
        <w:pStyle w:val="ListBullet0"/>
      </w:pPr>
      <w:r w:rsidRPr="00893B11">
        <w:t xml:space="preserve">Decommissioning and removal of </w:t>
      </w:r>
      <w:r w:rsidR="00C024D5">
        <w:t xml:space="preserve">an </w:t>
      </w:r>
      <w:r w:rsidRPr="00893B11">
        <w:t xml:space="preserve">existing substation adjacent to the previous Council Administration building </w:t>
      </w:r>
    </w:p>
    <w:p w14:paraId="27879795" w14:textId="77777777" w:rsidR="00A35DAD" w:rsidRPr="00893B11" w:rsidRDefault="00A35DAD" w:rsidP="00A35DAD">
      <w:pPr>
        <w:pStyle w:val="ListBullet0"/>
      </w:pPr>
      <w:r w:rsidRPr="00893B11">
        <w:t xml:space="preserve">Construction of two new substations </w:t>
      </w:r>
    </w:p>
    <w:p w14:paraId="17CEF052" w14:textId="77777777" w:rsidR="00A35DAD" w:rsidRPr="00893B11" w:rsidRDefault="00A35DAD" w:rsidP="00A35DAD">
      <w:pPr>
        <w:pStyle w:val="ListBullet0"/>
      </w:pPr>
      <w:r w:rsidRPr="00893B11">
        <w:t xml:space="preserve">Partial demolition relating to Bicentennial Hall &amp; The Q Foyer / Link </w:t>
      </w:r>
    </w:p>
    <w:p w14:paraId="78E62E50" w14:textId="77777777" w:rsidR="00A35DAD" w:rsidRPr="00893B11" w:rsidRDefault="00A35DAD" w:rsidP="00A35DAD">
      <w:pPr>
        <w:pStyle w:val="ListBullet0"/>
      </w:pPr>
      <w:r w:rsidRPr="00893B11">
        <w:t xml:space="preserve">Demolition of existing structures and buildings at 10 and 12 Rutledge Street </w:t>
      </w:r>
    </w:p>
    <w:p w14:paraId="318B9991" w14:textId="77777777" w:rsidR="00A35DAD" w:rsidRPr="00893B11" w:rsidRDefault="00A35DAD" w:rsidP="00A35DAD">
      <w:pPr>
        <w:pStyle w:val="ListBullet0"/>
      </w:pPr>
      <w:r w:rsidRPr="00893B11">
        <w:t xml:space="preserve">Construction of a seven-storey public administration building at 257 Crawford Street (including basement) </w:t>
      </w:r>
    </w:p>
    <w:p w14:paraId="538F15BC" w14:textId="77777777" w:rsidR="00A35DAD" w:rsidRPr="00893B11" w:rsidRDefault="00A35DAD" w:rsidP="00A35DAD">
      <w:pPr>
        <w:pStyle w:val="ListBullet0"/>
      </w:pPr>
      <w:r w:rsidRPr="00893B11">
        <w:t xml:space="preserve">Establishment of a new service lane from Crawford Street </w:t>
      </w:r>
    </w:p>
    <w:p w14:paraId="3341A0C5" w14:textId="77777777" w:rsidR="00A35DAD" w:rsidRPr="00893B11" w:rsidRDefault="00A35DAD" w:rsidP="00A35DAD">
      <w:pPr>
        <w:pStyle w:val="ListBullet0"/>
      </w:pPr>
      <w:r w:rsidRPr="00893B11">
        <w:t xml:space="preserve">Construction of new ground floor linkage Bicentennial Hall / The Q Foyer </w:t>
      </w:r>
    </w:p>
    <w:p w14:paraId="77C16660" w14:textId="5B91270B" w:rsidR="00A35DAD" w:rsidRPr="00893B11" w:rsidRDefault="00A35DAD" w:rsidP="00A35DAD">
      <w:pPr>
        <w:pStyle w:val="ListBullet0"/>
      </w:pPr>
      <w:r w:rsidRPr="00893B11">
        <w:t xml:space="preserve">Construction of </w:t>
      </w:r>
      <w:r w:rsidR="00C024D5">
        <w:t xml:space="preserve">a </w:t>
      </w:r>
      <w:r w:rsidRPr="00893B11">
        <w:t xml:space="preserve">mezzanine level from </w:t>
      </w:r>
      <w:r w:rsidR="00C024D5">
        <w:t xml:space="preserve">the </w:t>
      </w:r>
      <w:r w:rsidRPr="00893B11">
        <w:t xml:space="preserve">Bicentennial Hall to the new public administration building </w:t>
      </w:r>
    </w:p>
    <w:p w14:paraId="518175A6" w14:textId="77777777" w:rsidR="00A35DAD" w:rsidRPr="00893B11" w:rsidRDefault="00A35DAD" w:rsidP="00A35DAD">
      <w:pPr>
        <w:pStyle w:val="ListBullet0"/>
      </w:pPr>
      <w:r w:rsidRPr="00893B11">
        <w:t xml:space="preserve">Establishment and landscaping of a Crawford Street Plaza </w:t>
      </w:r>
    </w:p>
    <w:p w14:paraId="6E8B360C" w14:textId="77777777" w:rsidR="00A35DAD" w:rsidRPr="00893B11" w:rsidRDefault="00A35DAD" w:rsidP="00A35DAD">
      <w:pPr>
        <w:pStyle w:val="ListBullet0"/>
      </w:pPr>
      <w:r w:rsidRPr="00893B11">
        <w:t xml:space="preserve">Establishment and landscaping of The Q Plaza </w:t>
      </w:r>
    </w:p>
    <w:p w14:paraId="4CEE4A39" w14:textId="5A96EE4D" w:rsidR="00FA4E2A" w:rsidRDefault="00A35DAD" w:rsidP="00A35DAD">
      <w:pPr>
        <w:pStyle w:val="ListBullet0"/>
      </w:pPr>
      <w:r w:rsidRPr="00893B11">
        <w:t xml:space="preserve">Subdivision of the site to reconfigure the current lot alignment from six allotments into two allotments. </w:t>
      </w:r>
      <w:r>
        <w:t xml:space="preserve"> </w:t>
      </w:r>
    </w:p>
    <w:p w14:paraId="5F18921B" w14:textId="0C2200AF" w:rsidR="003851EF" w:rsidRPr="00FA4E2A" w:rsidRDefault="003851EF" w:rsidP="003851EF">
      <w:pPr>
        <w:pStyle w:val="BodyText"/>
      </w:pPr>
      <w:r>
        <w:t>The development will result in a</w:t>
      </w:r>
      <w:r w:rsidRPr="00FA4E2A">
        <w:t xml:space="preserve"> new office building</w:t>
      </w:r>
      <w:r>
        <w:t xml:space="preserve">, comprising </w:t>
      </w:r>
      <w:r w:rsidR="009E73C1">
        <w:t xml:space="preserve">approximately </w:t>
      </w:r>
      <w:r w:rsidR="00525B24">
        <w:t>8,466</w:t>
      </w:r>
      <w:r w:rsidR="007428CD">
        <w:t>m</w:t>
      </w:r>
      <w:r w:rsidR="007428CD" w:rsidRPr="007428CD">
        <w:rPr>
          <w:vertAlign w:val="superscript"/>
        </w:rPr>
        <w:t>2</w:t>
      </w:r>
      <w:r w:rsidRPr="00FA4E2A">
        <w:t xml:space="preserve"> </w:t>
      </w:r>
      <w:r w:rsidR="007428CD">
        <w:t>GFA</w:t>
      </w:r>
      <w:r>
        <w:t xml:space="preserve">, </w:t>
      </w:r>
      <w:r w:rsidRPr="00FA4E2A">
        <w:t>for the accommodation of QPRC staff (200 staff</w:t>
      </w:r>
      <w:r>
        <w:t xml:space="preserve"> </w:t>
      </w:r>
      <w:r w:rsidRPr="00FA4E2A">
        <w:t>+10% future growth) and a lettable or saleable area for occupation by a third party. The building will also</w:t>
      </w:r>
      <w:r>
        <w:t xml:space="preserve"> </w:t>
      </w:r>
      <w:r w:rsidRPr="00FA4E2A">
        <w:t>accommodate the QPRC shopfront/customer service interface, library, smart hub facilities, future provision</w:t>
      </w:r>
      <w:r>
        <w:t xml:space="preserve"> </w:t>
      </w:r>
      <w:r w:rsidRPr="00FA4E2A">
        <w:t xml:space="preserve">for the </w:t>
      </w:r>
      <w:r w:rsidR="00C024D5">
        <w:t>public meetings</w:t>
      </w:r>
      <w:r w:rsidRPr="00FA4E2A">
        <w:t>, basement car parking, building plantroom, relevant amenities and a rooftop</w:t>
      </w:r>
      <w:r>
        <w:t xml:space="preserve"> </w:t>
      </w:r>
      <w:r w:rsidRPr="00FA4E2A">
        <w:t>recreation space.</w:t>
      </w:r>
    </w:p>
    <w:p w14:paraId="650BA3A6" w14:textId="2B6D6831" w:rsidR="003851EF" w:rsidRPr="00A35DAD" w:rsidRDefault="003851EF" w:rsidP="003851EF">
      <w:pPr>
        <w:pStyle w:val="ListBullet0"/>
        <w:numPr>
          <w:ilvl w:val="0"/>
          <w:numId w:val="0"/>
        </w:numPr>
      </w:pPr>
      <w:r w:rsidRPr="00FA4E2A">
        <w:t xml:space="preserve">Alterations and additions to the existing Bicentennial Hall are proposed to </w:t>
      </w:r>
      <w:r>
        <w:t xml:space="preserve">create a new foyer to </w:t>
      </w:r>
      <w:r w:rsidRPr="00FA4E2A">
        <w:t>expand the facility’s functional</w:t>
      </w:r>
      <w:r>
        <w:t xml:space="preserve"> </w:t>
      </w:r>
      <w:r w:rsidRPr="00FA4E2A">
        <w:t>capability to support conferencing events and provide both the Bicentennial Hall and “The Q” Performing Arts</w:t>
      </w:r>
      <w:r>
        <w:t xml:space="preserve"> </w:t>
      </w:r>
      <w:r w:rsidRPr="00FA4E2A">
        <w:t>Centre with an expanded foyer visible and accessible from Crawford Street.</w:t>
      </w:r>
      <w:r>
        <w:t xml:space="preserve">  </w:t>
      </w:r>
      <w:r>
        <w:rPr>
          <w:rFonts w:eastAsiaTheme="minorHAnsi"/>
        </w:rPr>
        <w:t xml:space="preserve">A mezzanine level of the proposed building will connect to the existing Bicentennial Hall structure.  </w:t>
      </w:r>
      <w:r>
        <w:t>The e</w:t>
      </w:r>
      <w:r w:rsidRPr="00FA4E2A">
        <w:t>mbellishment of a new community open space area erected over basement carparking in the forecourt of</w:t>
      </w:r>
      <w:r>
        <w:t xml:space="preserve"> </w:t>
      </w:r>
      <w:r w:rsidRPr="00FA4E2A">
        <w:t>The Q</w:t>
      </w:r>
      <w:r>
        <w:t xml:space="preserve"> is also proposed</w:t>
      </w:r>
      <w:r w:rsidR="00C024D5">
        <w:t xml:space="preserve"> as is a landscaped entry plaza of Crawford Street</w:t>
      </w:r>
    </w:p>
    <w:p w14:paraId="3BD91022" w14:textId="7EDAA46C" w:rsidR="00C024D5" w:rsidRDefault="00F01A00" w:rsidP="00356C78">
      <w:pPr>
        <w:pStyle w:val="BodyText"/>
      </w:pPr>
      <w:r>
        <w:t>The proposed building footprint only impacts Lots 1, 2 and 5 DP</w:t>
      </w:r>
      <w:r w:rsidRPr="00DB3050">
        <w:t>1179998</w:t>
      </w:r>
      <w:r>
        <w:t>, although a component of the DA proposes a consolidation of the six lots into two new lots.</w:t>
      </w:r>
    </w:p>
    <w:p w14:paraId="7A454034" w14:textId="77777777" w:rsidR="00C024D5" w:rsidRDefault="00C024D5">
      <w:pPr>
        <w:spacing w:before="80" w:after="80"/>
        <w:rPr>
          <w:rFonts w:eastAsia="Times New Roman" w:cs="Times New Roman"/>
          <w:color w:val="4E4E50" w:themeColor="text2"/>
          <w:szCs w:val="24"/>
          <w:lang w:eastAsia="en-AU"/>
        </w:rPr>
      </w:pPr>
      <w:r>
        <w:br w:type="page"/>
      </w:r>
    </w:p>
    <w:p w14:paraId="3AE1FD24" w14:textId="04AB614C" w:rsidR="00356C78" w:rsidRDefault="00356C78" w:rsidP="00356C78">
      <w:pPr>
        <w:pStyle w:val="Heading2"/>
      </w:pPr>
      <w:bookmarkStart w:id="14" w:name="_Toc48230306"/>
      <w:r>
        <w:lastRenderedPageBreak/>
        <w:t>Landscaping and Public Domain Improvements</w:t>
      </w:r>
      <w:bookmarkEnd w:id="14"/>
    </w:p>
    <w:p w14:paraId="45DCE2DA" w14:textId="3E591F66" w:rsidR="00560F18" w:rsidRDefault="005A1CD4" w:rsidP="005A1CD4">
      <w:pPr>
        <w:pStyle w:val="BodyText"/>
      </w:pPr>
      <w:r>
        <w:t xml:space="preserve">A Landscape Plan was prepared by </w:t>
      </w:r>
      <w:proofErr w:type="spellStart"/>
      <w:r>
        <w:t>Oxigen</w:t>
      </w:r>
      <w:proofErr w:type="spellEnd"/>
      <w:r w:rsidR="003851EF">
        <w:t xml:space="preserve"> and </w:t>
      </w:r>
      <w:r>
        <w:t xml:space="preserve">includes a site analysis incorporating design principles and design intent/desired character for the landscape area and public realm, including the identification of </w:t>
      </w:r>
      <w:r w:rsidR="00560F18">
        <w:t xml:space="preserve">three </w:t>
      </w:r>
      <w:r>
        <w:t>precincts</w:t>
      </w:r>
      <w:r w:rsidR="00560F18">
        <w:t>, as follows:</w:t>
      </w:r>
    </w:p>
    <w:p w14:paraId="76D39F03" w14:textId="2DF50C6C" w:rsidR="00560F18" w:rsidRDefault="00E104F8" w:rsidP="00BD65E8">
      <w:pPr>
        <w:pStyle w:val="ListBullet0"/>
      </w:pPr>
      <w:r>
        <w:t>an entry</w:t>
      </w:r>
      <w:r w:rsidR="005A1CD4">
        <w:t xml:space="preserve"> forecourt, </w:t>
      </w:r>
      <w:r w:rsidR="00560F18">
        <w:t>which fronts Crawford Street</w:t>
      </w:r>
      <w:r>
        <w:t>.</w:t>
      </w:r>
    </w:p>
    <w:p w14:paraId="695839D9" w14:textId="1516FD03" w:rsidR="00BD65E8" w:rsidRDefault="00560F18" w:rsidP="00BD65E8">
      <w:pPr>
        <w:pStyle w:val="ListBullet0"/>
      </w:pPr>
      <w:r>
        <w:t xml:space="preserve">a </w:t>
      </w:r>
      <w:r w:rsidR="00E104F8">
        <w:t>‘Civic Square’</w:t>
      </w:r>
      <w:r w:rsidR="005A1CD4">
        <w:t xml:space="preserve">, </w:t>
      </w:r>
      <w:r>
        <w:t xml:space="preserve">which is located to the rear of the proposed building and forms a public square </w:t>
      </w:r>
      <w:r w:rsidR="00BD65E8">
        <w:t>with the Q Theatre</w:t>
      </w:r>
      <w:r w:rsidR="00E104F8">
        <w:t>.</w:t>
      </w:r>
    </w:p>
    <w:p w14:paraId="1581CB52" w14:textId="76AAE4C3" w:rsidR="00BD65E8" w:rsidRDefault="005A1CD4" w:rsidP="00BD65E8">
      <w:pPr>
        <w:pStyle w:val="ListBullet0"/>
      </w:pPr>
      <w:r>
        <w:t>passage</w:t>
      </w:r>
      <w:r w:rsidR="00E104F8">
        <w:t>s</w:t>
      </w:r>
      <w:r>
        <w:t xml:space="preserve"> and laneways</w:t>
      </w:r>
      <w:r w:rsidR="00BD65E8">
        <w:t>, which link the forecourt to the civic space and provide access for pedestrians and vehicles.</w:t>
      </w:r>
    </w:p>
    <w:p w14:paraId="4FA85BDA" w14:textId="21C95334" w:rsidR="005A1CD4" w:rsidRDefault="00BD65E8" w:rsidP="005A1CD4">
      <w:pPr>
        <w:pStyle w:val="BodyText"/>
      </w:pPr>
      <w:r>
        <w:t>A rooftop garden is also proposed</w:t>
      </w:r>
      <w:r w:rsidR="00E104F8">
        <w:t xml:space="preserve">, which will be accessible to building occupants. </w:t>
      </w:r>
    </w:p>
    <w:p w14:paraId="0CD57165" w14:textId="2667DCA6" w:rsidR="00356C78" w:rsidRDefault="00356C78" w:rsidP="00356C78">
      <w:pPr>
        <w:pStyle w:val="Heading2"/>
      </w:pPr>
      <w:bookmarkStart w:id="15" w:name="_Toc48230307"/>
      <w:r>
        <w:t xml:space="preserve">Vehicular </w:t>
      </w:r>
      <w:r w:rsidR="005553AA">
        <w:t xml:space="preserve">Parking, </w:t>
      </w:r>
      <w:r>
        <w:t>Access, and Loading</w:t>
      </w:r>
      <w:bookmarkEnd w:id="15"/>
    </w:p>
    <w:p w14:paraId="0CE0F393" w14:textId="291B39E6" w:rsidR="00356C78" w:rsidRDefault="00356C78" w:rsidP="00356C78">
      <w:pPr>
        <w:pStyle w:val="Heading3"/>
      </w:pPr>
      <w:bookmarkStart w:id="16" w:name="_Toc48230308"/>
      <w:r>
        <w:t>Parking</w:t>
      </w:r>
      <w:bookmarkEnd w:id="16"/>
    </w:p>
    <w:p w14:paraId="3C9E4B37" w14:textId="22A87B03" w:rsidR="00A24AE9" w:rsidRDefault="00920413" w:rsidP="00CA6FE2">
      <w:pPr>
        <w:pStyle w:val="BodyText"/>
      </w:pPr>
      <w:r>
        <w:t xml:space="preserve">The </w:t>
      </w:r>
      <w:r w:rsidR="00BB3F1C">
        <w:t xml:space="preserve">proposal includes construction of a basement </w:t>
      </w:r>
      <w:r w:rsidR="00CA6FE2">
        <w:t xml:space="preserve">car park </w:t>
      </w:r>
      <w:r w:rsidR="003851EF">
        <w:t>comprising</w:t>
      </w:r>
      <w:r w:rsidR="00CA6FE2">
        <w:t xml:space="preserve"> 108 parking spaces, and the upgrade of an existing </w:t>
      </w:r>
      <w:r w:rsidR="003851EF">
        <w:t>street level</w:t>
      </w:r>
      <w:r w:rsidR="00CA6FE2">
        <w:t xml:space="preserve"> car park to the west of the proposed building, known as the Lowe Street Car Park. Overall, </w:t>
      </w:r>
      <w:r w:rsidR="00C13B2C">
        <w:t>more than 200</w:t>
      </w:r>
      <w:r w:rsidR="0017271A">
        <w:t xml:space="preserve"> </w:t>
      </w:r>
      <w:r w:rsidR="00CA6FE2">
        <w:t xml:space="preserve">parking spaces will be provided between the basement and </w:t>
      </w:r>
      <w:r w:rsidR="00DD4E1D">
        <w:t xml:space="preserve">upgraded </w:t>
      </w:r>
      <w:r w:rsidR="00CA6FE2">
        <w:t>surface car park.</w:t>
      </w:r>
    </w:p>
    <w:p w14:paraId="5ABAA3B7" w14:textId="77777777" w:rsidR="005553AA" w:rsidRDefault="005553AA" w:rsidP="005553AA">
      <w:pPr>
        <w:pStyle w:val="Heading3"/>
      </w:pPr>
      <w:bookmarkStart w:id="17" w:name="_Toc48230309"/>
      <w:r>
        <w:t>Access</w:t>
      </w:r>
      <w:bookmarkEnd w:id="17"/>
    </w:p>
    <w:p w14:paraId="23821164" w14:textId="7E93E2D7" w:rsidR="00BD65E8" w:rsidRDefault="00BD65E8">
      <w:pPr>
        <w:pStyle w:val="BodyText"/>
      </w:pPr>
      <w:r>
        <w:t>The subject site has several entry points</w:t>
      </w:r>
      <w:r w:rsidR="003851EF">
        <w:t xml:space="preserve">; a </w:t>
      </w:r>
      <w:r>
        <w:t xml:space="preserve">driveway from Rutledge Street provides entry and exit for the basement as well as access to the Lowe Street surface car park. This carpark can also be accessed via the Lowe Street entrance, which remains unchanged as part of the proposed works. A new </w:t>
      </w:r>
      <w:r w:rsidR="00920413">
        <w:t xml:space="preserve">service </w:t>
      </w:r>
      <w:r>
        <w:t xml:space="preserve">laneway is proposed from Crawford Street to provide access for service vehicles, including waste collection vehicles, goods loading and delivery vehicles. </w:t>
      </w:r>
      <w:r w:rsidR="00920413">
        <w:t>The service lane will</w:t>
      </w:r>
      <w:r w:rsidR="00C024D5">
        <w:t xml:space="preserve"> be one way off Crawford Street</w:t>
      </w:r>
      <w:r w:rsidR="00920413">
        <w:t xml:space="preserve"> </w:t>
      </w:r>
      <w:r w:rsidR="00C024D5">
        <w:t xml:space="preserve">and </w:t>
      </w:r>
      <w:r w:rsidR="00920413">
        <w:t xml:space="preserve">have restricted access via a boom gate. </w:t>
      </w:r>
    </w:p>
    <w:p w14:paraId="66BFAD04" w14:textId="6E52490D" w:rsidR="004163E5" w:rsidRDefault="004163E5" w:rsidP="00377C07">
      <w:pPr>
        <w:pStyle w:val="Caption"/>
      </w:pPr>
      <w:bookmarkStart w:id="18" w:name="_Toc48230337"/>
      <w:r w:rsidRPr="00782F75">
        <w:t xml:space="preserve">Figure </w:t>
      </w:r>
      <w:r>
        <w:rPr>
          <w:noProof/>
        </w:rPr>
        <w:fldChar w:fldCharType="begin"/>
      </w:r>
      <w:r>
        <w:rPr>
          <w:noProof/>
        </w:rPr>
        <w:instrText xml:space="preserve"> SEQ Figure \* ARABIC </w:instrText>
      </w:r>
      <w:r>
        <w:rPr>
          <w:noProof/>
        </w:rPr>
        <w:fldChar w:fldCharType="separate"/>
      </w:r>
      <w:r w:rsidR="008F4696">
        <w:rPr>
          <w:noProof/>
        </w:rPr>
        <w:t>4</w:t>
      </w:r>
      <w:r>
        <w:rPr>
          <w:noProof/>
        </w:rPr>
        <w:fldChar w:fldCharType="end"/>
      </w:r>
      <w:r>
        <w:tab/>
      </w:r>
      <w:r w:rsidR="009E73C1">
        <w:t>St</w:t>
      </w:r>
      <w:r w:rsidR="0063342E">
        <w:t xml:space="preserve">reetscape </w:t>
      </w:r>
      <w:r w:rsidR="009E73C1">
        <w:t>elevation</w:t>
      </w:r>
      <w:bookmarkEnd w:id="18"/>
    </w:p>
    <w:p w14:paraId="52CEEE86" w14:textId="6003D733" w:rsidR="0063342E" w:rsidRDefault="0063342E" w:rsidP="0063342E">
      <w:pPr>
        <w:pStyle w:val="BodyText"/>
      </w:pPr>
      <w:r>
        <w:rPr>
          <w:noProof/>
        </w:rPr>
        <w:drawing>
          <wp:inline distT="0" distB="0" distL="0" distR="0" wp14:anchorId="70B96EEA" wp14:editId="62841E20">
            <wp:extent cx="6408420" cy="19837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treetscape Elevation - Crawford Street.JPG"/>
                    <pic:cNvPicPr/>
                  </pic:nvPicPr>
                  <pic:blipFill>
                    <a:blip r:embed="rId22"/>
                    <a:stretch>
                      <a:fillRect/>
                    </a:stretch>
                  </pic:blipFill>
                  <pic:spPr>
                    <a:xfrm>
                      <a:off x="0" y="0"/>
                      <a:ext cx="6408420" cy="1983740"/>
                    </a:xfrm>
                    <a:prstGeom prst="rect">
                      <a:avLst/>
                    </a:prstGeom>
                  </pic:spPr>
                </pic:pic>
              </a:graphicData>
            </a:graphic>
          </wp:inline>
        </w:drawing>
      </w:r>
    </w:p>
    <w:p w14:paraId="0E639F4A" w14:textId="378921AE" w:rsidR="007428CD" w:rsidRPr="007428CD" w:rsidRDefault="007428CD" w:rsidP="0063342E">
      <w:pPr>
        <w:pStyle w:val="BodyText"/>
        <w:rPr>
          <w:sz w:val="18"/>
          <w:szCs w:val="18"/>
        </w:rPr>
      </w:pPr>
      <w:r w:rsidRPr="007428CD">
        <w:rPr>
          <w:sz w:val="18"/>
          <w:szCs w:val="18"/>
        </w:rPr>
        <w:t>Source:</w:t>
      </w:r>
      <w:r w:rsidR="00FA6BB4">
        <w:rPr>
          <w:sz w:val="18"/>
          <w:szCs w:val="18"/>
        </w:rPr>
        <w:t xml:space="preserve"> SMEC 2019</w:t>
      </w:r>
    </w:p>
    <w:p w14:paraId="3AE89104" w14:textId="615BB465" w:rsidR="000A1F96" w:rsidRDefault="000A1F96" w:rsidP="000A1F96">
      <w:pPr>
        <w:pStyle w:val="Heading2"/>
      </w:pPr>
      <w:bookmarkStart w:id="19" w:name="_Toc48230310"/>
      <w:r>
        <w:lastRenderedPageBreak/>
        <w:t>Internal Referrals</w:t>
      </w:r>
      <w:bookmarkEnd w:id="19"/>
    </w:p>
    <w:p w14:paraId="4D162169" w14:textId="7E86BDB9" w:rsidR="000A1F96" w:rsidRDefault="000A1F96" w:rsidP="000A1F96">
      <w:pPr>
        <w:pStyle w:val="TableCaption"/>
      </w:pPr>
      <w:bookmarkStart w:id="20" w:name="_Toc48230344"/>
      <w:r>
        <w:t>Table </w:t>
      </w:r>
      <w:r w:rsidR="0070791B">
        <w:rPr>
          <w:noProof/>
        </w:rPr>
        <w:fldChar w:fldCharType="begin"/>
      </w:r>
      <w:r w:rsidR="0070791B">
        <w:rPr>
          <w:noProof/>
        </w:rPr>
        <w:instrText xml:space="preserve"> SEQ Table \* ARABIC </w:instrText>
      </w:r>
      <w:r w:rsidR="0070791B">
        <w:rPr>
          <w:noProof/>
        </w:rPr>
        <w:fldChar w:fldCharType="separate"/>
      </w:r>
      <w:r w:rsidR="008F4696">
        <w:rPr>
          <w:noProof/>
        </w:rPr>
        <w:t>2</w:t>
      </w:r>
      <w:r w:rsidR="0070791B">
        <w:rPr>
          <w:noProof/>
        </w:rPr>
        <w:fldChar w:fldCharType="end"/>
      </w:r>
      <w:r>
        <w:tab/>
      </w:r>
      <w:r w:rsidR="00FE5C2C">
        <w:t>Internal Referrals</w:t>
      </w:r>
      <w:bookmarkEnd w:id="20"/>
      <w:r w:rsidR="00FE5C2C">
        <w:t xml:space="preserve"> </w:t>
      </w:r>
    </w:p>
    <w:tbl>
      <w:tblPr>
        <w:tblStyle w:val="GreenLinedTable"/>
        <w:tblW w:w="5000" w:type="pct"/>
        <w:tblLook w:val="0620" w:firstRow="1" w:lastRow="0" w:firstColumn="0" w:lastColumn="0" w:noHBand="1" w:noVBand="1"/>
      </w:tblPr>
      <w:tblGrid>
        <w:gridCol w:w="2127"/>
        <w:gridCol w:w="7965"/>
      </w:tblGrid>
      <w:tr w:rsidR="000A1F96" w14:paraId="360D54C3" w14:textId="77777777" w:rsidTr="000A1F96">
        <w:trPr>
          <w:cnfStyle w:val="100000000000" w:firstRow="1" w:lastRow="0" w:firstColumn="0" w:lastColumn="0" w:oddVBand="0" w:evenVBand="0" w:oddHBand="0" w:evenHBand="0" w:firstRowFirstColumn="0" w:firstRowLastColumn="0" w:lastRowFirstColumn="0" w:lastRowLastColumn="0"/>
          <w:tblHeader/>
        </w:trPr>
        <w:tc>
          <w:tcPr>
            <w:tcW w:w="1054" w:type="pct"/>
          </w:tcPr>
          <w:p w14:paraId="59C06DED" w14:textId="2330E435" w:rsidR="000A1F96" w:rsidRDefault="000A1F96" w:rsidP="000A1F96">
            <w:pPr>
              <w:pStyle w:val="TableHeadingGrey"/>
            </w:pPr>
            <w:r>
              <w:t>Authority</w:t>
            </w:r>
          </w:p>
        </w:tc>
        <w:tc>
          <w:tcPr>
            <w:tcW w:w="3946" w:type="pct"/>
          </w:tcPr>
          <w:p w14:paraId="46460E9D" w14:textId="6084ECB9" w:rsidR="000A1F96" w:rsidRDefault="000A1F96" w:rsidP="000A1F96">
            <w:pPr>
              <w:pStyle w:val="TableHeadingGrey"/>
            </w:pPr>
            <w:r>
              <w:t>Comment</w:t>
            </w:r>
          </w:p>
        </w:tc>
      </w:tr>
      <w:tr w:rsidR="000A1F96" w14:paraId="5998567E" w14:textId="77777777" w:rsidTr="000A1F96">
        <w:tc>
          <w:tcPr>
            <w:tcW w:w="1054" w:type="pct"/>
          </w:tcPr>
          <w:p w14:paraId="38798E5D" w14:textId="25F9449B" w:rsidR="000A1F96" w:rsidRDefault="002754C7" w:rsidP="000A1F96">
            <w:pPr>
              <w:pStyle w:val="TableText"/>
            </w:pPr>
            <w:r>
              <w:t>Environmental Health</w:t>
            </w:r>
          </w:p>
        </w:tc>
        <w:tc>
          <w:tcPr>
            <w:tcW w:w="3946" w:type="pct"/>
          </w:tcPr>
          <w:p w14:paraId="445AD73C" w14:textId="2E4E7B28" w:rsidR="003429C4" w:rsidRDefault="003429C4" w:rsidP="003429C4">
            <w:pPr>
              <w:pStyle w:val="TableText"/>
            </w:pPr>
            <w:r>
              <w:t xml:space="preserve">Referral response dated </w:t>
            </w:r>
            <w:r w:rsidR="004C12F1" w:rsidRPr="004C12F1">
              <w:t>June</w:t>
            </w:r>
            <w:r w:rsidR="0017271A" w:rsidRPr="004C12F1">
              <w:t xml:space="preserve"> </w:t>
            </w:r>
            <w:r w:rsidRPr="004C12F1">
              <w:t>2020</w:t>
            </w:r>
            <w:r>
              <w:t>.</w:t>
            </w:r>
          </w:p>
          <w:p w14:paraId="20DE043C" w14:textId="1F3F9E0B" w:rsidR="00E107E9" w:rsidRDefault="00DD4E1D" w:rsidP="00E107E9">
            <w:pPr>
              <w:pStyle w:val="TableText"/>
            </w:pPr>
            <w:r>
              <w:t>The referral considered the proposal in terms of issues relating to construction activities (including noise impacts),</w:t>
            </w:r>
            <w:r w:rsidR="00E107E9">
              <w:t xml:space="preserve"> </w:t>
            </w:r>
            <w:r>
              <w:t>operation of food premises, public health</w:t>
            </w:r>
            <w:r w:rsidR="00E107E9">
              <w:t xml:space="preserve">, waste/trade waste and contamination. </w:t>
            </w:r>
          </w:p>
          <w:p w14:paraId="6AB834E2" w14:textId="77777777" w:rsidR="003429C4" w:rsidRDefault="0017271A" w:rsidP="000A1F96">
            <w:pPr>
              <w:pStyle w:val="TableText"/>
            </w:pPr>
            <w:r>
              <w:t xml:space="preserve">The proposal was supported subject to the following </w:t>
            </w:r>
            <w:r w:rsidR="00E107E9">
              <w:t>recommended conditions:</w:t>
            </w:r>
          </w:p>
          <w:p w14:paraId="08F61B56" w14:textId="6782C6CF" w:rsidR="00E107E9" w:rsidRDefault="00E107E9" w:rsidP="00E107E9">
            <w:pPr>
              <w:pStyle w:val="TableBullet"/>
            </w:pPr>
            <w:r>
              <w:t xml:space="preserve">Preparation of a Construction Management Plan prior to commencement of works, which should also be updated prior </w:t>
            </w:r>
            <w:r w:rsidR="00170D4F">
              <w:t>to the release of any Construction Certification (Building)</w:t>
            </w:r>
            <w:r>
              <w:t>.</w:t>
            </w:r>
          </w:p>
          <w:p w14:paraId="42A857BE" w14:textId="4A07C530" w:rsidR="00E107E9" w:rsidRDefault="00E107E9" w:rsidP="00E107E9">
            <w:pPr>
              <w:pStyle w:val="TableBullet"/>
            </w:pPr>
            <w:r>
              <w:t>Preparation of a sustainability schedule to ensure that the intended 5 Star Green Star rating is achieved.</w:t>
            </w:r>
          </w:p>
          <w:p w14:paraId="24034D0F" w14:textId="0AE9422F" w:rsidR="00E107E9" w:rsidRDefault="00E107E9" w:rsidP="00E107E9">
            <w:pPr>
              <w:pStyle w:val="TableBullet"/>
            </w:pPr>
            <w:r>
              <w:t xml:space="preserve">Provision of a kitchen layout plan for the proposed café to be provided to support </w:t>
            </w:r>
            <w:r w:rsidR="00170D4F">
              <w:t xml:space="preserve">the release of </w:t>
            </w:r>
            <w:r>
              <w:t>any Construction Certification (Building).</w:t>
            </w:r>
          </w:p>
          <w:p w14:paraId="36855B35" w14:textId="1048C34A" w:rsidR="00E107E9" w:rsidRDefault="00302E73" w:rsidP="00E107E9">
            <w:pPr>
              <w:pStyle w:val="TableBullet"/>
            </w:pPr>
            <w:r>
              <w:t>Proper disposal of construction waste and excavated material</w:t>
            </w:r>
            <w:r w:rsidR="005E79F3">
              <w:t>.</w:t>
            </w:r>
          </w:p>
          <w:p w14:paraId="50609A77" w14:textId="5278A926" w:rsidR="005E79F3" w:rsidRDefault="005E79F3" w:rsidP="00E107E9">
            <w:pPr>
              <w:pStyle w:val="TableBullet"/>
            </w:pPr>
            <w:r>
              <w:t>Preparation of an acoustic report following building occupancy.</w:t>
            </w:r>
          </w:p>
          <w:p w14:paraId="79FE0AA4" w14:textId="4C433A81" w:rsidR="005E79F3" w:rsidRDefault="005E79F3" w:rsidP="00E107E9">
            <w:pPr>
              <w:pStyle w:val="TableBullet"/>
            </w:pPr>
            <w:r>
              <w:t>Replacement of proposed Eucalypt species with endemic species to the Queanbeyan region.</w:t>
            </w:r>
          </w:p>
          <w:p w14:paraId="2A57513D" w14:textId="5A6469A6" w:rsidR="00E107E9" w:rsidRDefault="005E79F3" w:rsidP="000A1F96">
            <w:pPr>
              <w:pStyle w:val="TableText"/>
            </w:pPr>
            <w:r>
              <w:t>The conditions have been considered and incorporated into the recommend</w:t>
            </w:r>
            <w:r w:rsidR="00444B1E">
              <w:t>ed</w:t>
            </w:r>
            <w:r>
              <w:t xml:space="preserve"> conditions of consent</w:t>
            </w:r>
            <w:r w:rsidR="00A2078F">
              <w:t>.</w:t>
            </w:r>
          </w:p>
        </w:tc>
      </w:tr>
      <w:tr w:rsidR="000A1F96" w14:paraId="2DE9916B" w14:textId="77777777" w:rsidTr="000A1F96">
        <w:tc>
          <w:tcPr>
            <w:tcW w:w="1054" w:type="pct"/>
          </w:tcPr>
          <w:p w14:paraId="443AF2DE" w14:textId="66CF285D" w:rsidR="000A1F96" w:rsidRDefault="002754C7" w:rsidP="000A1F96">
            <w:pPr>
              <w:pStyle w:val="TableText"/>
            </w:pPr>
            <w:r>
              <w:t>Heritage</w:t>
            </w:r>
          </w:p>
        </w:tc>
        <w:tc>
          <w:tcPr>
            <w:tcW w:w="3946" w:type="pct"/>
          </w:tcPr>
          <w:p w14:paraId="05DC9CF1" w14:textId="52CF574B" w:rsidR="000A1F96" w:rsidRDefault="00F10B2E" w:rsidP="000A1F96">
            <w:pPr>
              <w:pStyle w:val="TableText"/>
            </w:pPr>
            <w:r>
              <w:t>The QPRC Heritage Advisory Service provided its r</w:t>
            </w:r>
            <w:r w:rsidR="00696FFC">
              <w:t xml:space="preserve">eferral response </w:t>
            </w:r>
            <w:r>
              <w:t>on</w:t>
            </w:r>
            <w:r w:rsidR="00696FFC">
              <w:t xml:space="preserve"> </w:t>
            </w:r>
            <w:r>
              <w:t>2</w:t>
            </w:r>
            <w:r w:rsidR="00696FFC">
              <w:t>7 February 2020.</w:t>
            </w:r>
          </w:p>
          <w:p w14:paraId="0AFF4770" w14:textId="6A1050A6" w:rsidR="00696FFC" w:rsidRDefault="00696FFC" w:rsidP="000A1F96">
            <w:pPr>
              <w:pStyle w:val="TableText"/>
            </w:pPr>
            <w:r>
              <w:t>The proposal was supported subject to the following recommendations:</w:t>
            </w:r>
          </w:p>
          <w:p w14:paraId="7B805A73" w14:textId="038D64B9" w:rsidR="00696FFC" w:rsidRDefault="00696FFC" w:rsidP="00696FFC">
            <w:pPr>
              <w:pStyle w:val="TableBullet"/>
            </w:pPr>
            <w:r>
              <w:t>Realignment of western boundary to provide additional space around the heritage fire station.</w:t>
            </w:r>
          </w:p>
          <w:p w14:paraId="625DAC86" w14:textId="71F518CA" w:rsidR="00696FFC" w:rsidRDefault="00696FFC" w:rsidP="00696FFC">
            <w:pPr>
              <w:pStyle w:val="TableBullet"/>
            </w:pPr>
            <w:r>
              <w:t>Separation of vehicles between the fire station wall and service laneway to be kept to 1.2m at a minimum.</w:t>
            </w:r>
          </w:p>
          <w:p w14:paraId="0D473187" w14:textId="62C4E2FC" w:rsidR="00696FFC" w:rsidRDefault="00696FFC" w:rsidP="00696FFC">
            <w:pPr>
              <w:pStyle w:val="TableBullet"/>
            </w:pPr>
            <w:r>
              <w:t xml:space="preserve">Preparation of a dilapidation report on adjacent heritage buildings to determine existing condition and determine extent of any potential damage caused by the proposed construction. </w:t>
            </w:r>
          </w:p>
          <w:p w14:paraId="3644C313" w14:textId="286C7E85" w:rsidR="00696FFC" w:rsidRDefault="00696FFC" w:rsidP="00696FFC">
            <w:pPr>
              <w:pStyle w:val="TableBullet"/>
            </w:pPr>
            <w:r>
              <w:t>Garden beds/raised planter beds around existing trees on Crawford Street to be installed in accordance with advice from suitably qualified arborist.</w:t>
            </w:r>
          </w:p>
          <w:p w14:paraId="653E6A7D" w14:textId="4EEC2521" w:rsidR="00696FFC" w:rsidRDefault="00696FFC" w:rsidP="00696FFC">
            <w:pPr>
              <w:pStyle w:val="TableBullet"/>
            </w:pPr>
            <w:r>
              <w:t>External cleaning of adjacent heritage building to be undertaken following completion of construction.</w:t>
            </w:r>
          </w:p>
          <w:p w14:paraId="54593422" w14:textId="12648820" w:rsidR="00696FFC" w:rsidRDefault="00696FFC" w:rsidP="00696FFC">
            <w:pPr>
              <w:pStyle w:val="TableBullet"/>
            </w:pPr>
            <w:r>
              <w:t xml:space="preserve">Interpretation signage to be installed to provide information on the social and architectural history of Crawford Street. </w:t>
            </w:r>
          </w:p>
          <w:p w14:paraId="5424F93B" w14:textId="69DE5838" w:rsidR="00696FFC" w:rsidRDefault="00696FFC" w:rsidP="000A1F96">
            <w:pPr>
              <w:pStyle w:val="TableText"/>
            </w:pPr>
            <w:r>
              <w:t>The conditions have been considered an</w:t>
            </w:r>
            <w:r w:rsidR="0017271A">
              <w:t>d</w:t>
            </w:r>
            <w:r>
              <w:t xml:space="preserve"> incorporated into the recommend</w:t>
            </w:r>
            <w:r w:rsidR="00555290">
              <w:t>ed</w:t>
            </w:r>
            <w:r>
              <w:t xml:space="preserve"> conditions of consent.</w:t>
            </w:r>
          </w:p>
          <w:p w14:paraId="7B149E38" w14:textId="5F5DE3A0" w:rsidR="00707540" w:rsidRDefault="00707540" w:rsidP="000A1F96">
            <w:pPr>
              <w:pStyle w:val="TableText"/>
            </w:pPr>
            <w:r>
              <w:t>The proposal was also discussed at the Heritage Advisory Committee meeting on 20 February 2020, noting the following:</w:t>
            </w:r>
          </w:p>
          <w:p w14:paraId="5230673D" w14:textId="77777777" w:rsidR="00707540" w:rsidRDefault="00707540" w:rsidP="00705A20">
            <w:pPr>
              <w:pStyle w:val="TableBullet"/>
            </w:pPr>
            <w:r>
              <w:t>That the Committee supports measures 5 – 9, 11 and 13 of the Heritage Impact Statement in regards to measures proposed to reduce heritage impact on the surrounding area, and that these be included as conditions as part of the consent of the DA.</w:t>
            </w:r>
          </w:p>
          <w:p w14:paraId="6E50342C" w14:textId="77777777" w:rsidR="00705A20" w:rsidRDefault="00705A20" w:rsidP="00705A20">
            <w:pPr>
              <w:pStyle w:val="TableBullet"/>
            </w:pPr>
            <w:r>
              <w:t>That the Committee’s preference arising out of the measure 2, was for the laneway immediately to the north of the fire station to be pedestrian only with access for emergency vehicles only.</w:t>
            </w:r>
          </w:p>
          <w:p w14:paraId="1370676E" w14:textId="0F8103D5" w:rsidR="00E81649" w:rsidRDefault="00F10B2E" w:rsidP="00E81649">
            <w:pPr>
              <w:pStyle w:val="TableText"/>
            </w:pPr>
            <w:r>
              <w:lastRenderedPageBreak/>
              <w:t xml:space="preserve">It is noted that </w:t>
            </w:r>
            <w:r w:rsidR="00555290">
              <w:t>some of the</w:t>
            </w:r>
            <w:r>
              <w:t xml:space="preserve"> recommendations from the Heritage </w:t>
            </w:r>
            <w:r w:rsidR="00CD29E8">
              <w:t xml:space="preserve">Advisory </w:t>
            </w:r>
            <w:r w:rsidR="00555290">
              <w:t xml:space="preserve">Committee </w:t>
            </w:r>
            <w:r>
              <w:t>have implications for the functionality of the proposed building, particularly the operations of the service l</w:t>
            </w:r>
            <w:r w:rsidR="00555290">
              <w:t>a</w:t>
            </w:r>
            <w:r>
              <w:t xml:space="preserve">ne on the eastern boundary of the site, between the proposed building and the heritage fire station. </w:t>
            </w:r>
            <w:r w:rsidR="000B4436">
              <w:t xml:space="preserve">A separation of 1.2m between the fire station wall and the kerb of the laneway is not practical and would </w:t>
            </w:r>
            <w:r w:rsidR="00085FBF">
              <w:t xml:space="preserve">not enable sufficient laneway width for the types of vehicles required to use it (e.g. delivery vehicles and garbage trucks). </w:t>
            </w:r>
            <w:r w:rsidR="004948DF">
              <w:t>The laneway is approximately 4.5m wide. Shifting it off the boundary with the fire</w:t>
            </w:r>
            <w:r w:rsidR="00CD29E8">
              <w:t xml:space="preserve"> </w:t>
            </w:r>
            <w:r w:rsidR="004948DF">
              <w:t>sta</w:t>
            </w:r>
            <w:r w:rsidR="00CD29E8">
              <w:t xml:space="preserve">tion </w:t>
            </w:r>
            <w:r w:rsidR="00E81649">
              <w:t>is expected to restrict the operational service functions that are proposed to open on</w:t>
            </w:r>
            <w:r w:rsidR="00555290">
              <w:t xml:space="preserve"> to</w:t>
            </w:r>
            <w:r w:rsidR="00E81649">
              <w:t xml:space="preserve"> the pedestrian portion of the laneway. Service functions include fire stairs and building plant, such as the hydrant booster room and waste enclosure. Further, shifting the laneway </w:t>
            </w:r>
            <w:r w:rsidR="00CD29E8">
              <w:t>would impact the easternmost street tree of Crawford Street</w:t>
            </w:r>
            <w:r w:rsidR="00E81649">
              <w:t xml:space="preserve"> (identified as tree No. 5 on the Landscape Plans)</w:t>
            </w:r>
            <w:r w:rsidR="00CD29E8">
              <w:t xml:space="preserve">, likely necessitating its removal. </w:t>
            </w:r>
            <w:r w:rsidR="001712AA">
              <w:t>It is intended that this tree will be retained.</w:t>
            </w:r>
          </w:p>
          <w:p w14:paraId="24841959" w14:textId="1BD42709" w:rsidR="001F4383" w:rsidRDefault="00E81649" w:rsidP="00A2078F">
            <w:pPr>
              <w:pStyle w:val="TableText"/>
            </w:pPr>
            <w:r>
              <w:t xml:space="preserve">Restricting the use of the laneway to emergency vehicles and pedestrians only is not supported as a condition of approval. The laneway is </w:t>
            </w:r>
            <w:r w:rsidR="00B72578">
              <w:t xml:space="preserve">proposed as a service vehicle path for deliveries and waste collection. We note the use of access control from the Crawford Street entrance will prevent its use as a thoroughfare for private vehicles. </w:t>
            </w:r>
            <w:r w:rsidR="00555290">
              <w:t>Similarly, restricting the service lane to one way access will reduce the impacts of the lane</w:t>
            </w:r>
            <w:r w:rsidR="001712AA">
              <w:t xml:space="preserve"> on the tree.</w:t>
            </w:r>
          </w:p>
        </w:tc>
      </w:tr>
      <w:tr w:rsidR="009E16E9" w14:paraId="026121D2" w14:textId="77777777" w:rsidTr="000A1F96">
        <w:tc>
          <w:tcPr>
            <w:tcW w:w="1054" w:type="pct"/>
          </w:tcPr>
          <w:p w14:paraId="39C7FA76" w14:textId="41EBD6AC" w:rsidR="009E16E9" w:rsidRDefault="009E16E9" w:rsidP="000A1F96">
            <w:pPr>
              <w:pStyle w:val="TableText"/>
            </w:pPr>
            <w:r>
              <w:lastRenderedPageBreak/>
              <w:t>Engineering</w:t>
            </w:r>
          </w:p>
        </w:tc>
        <w:tc>
          <w:tcPr>
            <w:tcW w:w="3946" w:type="pct"/>
          </w:tcPr>
          <w:p w14:paraId="2EF30887" w14:textId="77777777" w:rsidR="009E16E9" w:rsidRDefault="009E16E9" w:rsidP="000A1F96">
            <w:pPr>
              <w:pStyle w:val="TableText"/>
            </w:pPr>
            <w:r>
              <w:t>Referral response dated 28 July 2020.</w:t>
            </w:r>
          </w:p>
          <w:p w14:paraId="7AC3FFE0" w14:textId="77777777" w:rsidR="009E16E9" w:rsidRPr="00C274A5" w:rsidRDefault="009E16E9" w:rsidP="000A1F96">
            <w:pPr>
              <w:pStyle w:val="TableText"/>
              <w:rPr>
                <w:b/>
              </w:rPr>
            </w:pPr>
            <w:r w:rsidRPr="00C274A5">
              <w:rPr>
                <w:b/>
              </w:rPr>
              <w:t>Water</w:t>
            </w:r>
          </w:p>
          <w:p w14:paraId="623E0310" w14:textId="6E526EC9" w:rsidR="009E16E9" w:rsidRDefault="00FB69C0" w:rsidP="000A1F96">
            <w:pPr>
              <w:pStyle w:val="TableText"/>
              <w:rPr>
                <w:rFonts w:ascii="Arial" w:hAnsi="Arial" w:cs="Arial"/>
              </w:rPr>
            </w:pPr>
            <w:r>
              <w:t>The referral</w:t>
            </w:r>
            <w:r w:rsidR="009E16E9">
              <w:t xml:space="preserve"> noted that several potable water connections are available to service the proposed development and that several other existing connections will become redundant as a result of the proposal. The size of </w:t>
            </w:r>
            <w:r w:rsidR="009E16E9" w:rsidRPr="00675035">
              <w:rPr>
                <w:rFonts w:ascii="Arial" w:hAnsi="Arial" w:cs="Arial"/>
              </w:rPr>
              <w:t>the proposed water service required for the multi-level building is to be calculated by a specialist hydraulic consultant specifying the required service size suitable for functionality and firefighting abilities</w:t>
            </w:r>
            <w:r w:rsidR="009E16E9">
              <w:rPr>
                <w:rFonts w:ascii="Arial" w:hAnsi="Arial" w:cs="Arial"/>
              </w:rPr>
              <w:t>.</w:t>
            </w:r>
          </w:p>
          <w:p w14:paraId="47835887" w14:textId="77777777" w:rsidR="009E16E9" w:rsidRPr="00C274A5" w:rsidRDefault="009E16E9" w:rsidP="000A1F96">
            <w:pPr>
              <w:pStyle w:val="TableText"/>
              <w:rPr>
                <w:b/>
              </w:rPr>
            </w:pPr>
            <w:r w:rsidRPr="00C274A5">
              <w:rPr>
                <w:b/>
              </w:rPr>
              <w:t>Sewer</w:t>
            </w:r>
          </w:p>
          <w:p w14:paraId="348F5347" w14:textId="2966CB86" w:rsidR="009E16E9" w:rsidRDefault="00FB69C0" w:rsidP="000A1F96">
            <w:pPr>
              <w:pStyle w:val="TableText"/>
              <w:rPr>
                <w:rFonts w:ascii="Arial" w:hAnsi="Arial" w:cs="Arial"/>
              </w:rPr>
            </w:pPr>
            <w:r>
              <w:t xml:space="preserve">The referral noted </w:t>
            </w:r>
            <w:r w:rsidR="009E16E9">
              <w:t xml:space="preserve">that several potable sewerage connections are available to service the proposed development and that that several other existing local sewerage mains will become redundant as a result of the proposal. The proposed provision of a new </w:t>
            </w:r>
            <w:r w:rsidR="005913ED">
              <w:t>150mm</w:t>
            </w:r>
            <w:r w:rsidR="009E16E9" w:rsidRPr="00675035">
              <w:rPr>
                <w:rFonts w:ascii="Arial" w:hAnsi="Arial" w:cs="Arial"/>
              </w:rPr>
              <w:t>sewer main to service the development</w:t>
            </w:r>
            <w:r w:rsidR="009E16E9">
              <w:rPr>
                <w:rFonts w:ascii="Arial" w:hAnsi="Arial" w:cs="Arial"/>
              </w:rPr>
              <w:t xml:space="preserve"> is considered adequate. </w:t>
            </w:r>
          </w:p>
          <w:p w14:paraId="4CFAF82E" w14:textId="77777777" w:rsidR="009E16E9" w:rsidRPr="00C274A5" w:rsidRDefault="009E16E9" w:rsidP="000A1F96">
            <w:pPr>
              <w:pStyle w:val="TableText"/>
              <w:rPr>
                <w:b/>
              </w:rPr>
            </w:pPr>
            <w:r w:rsidRPr="00C274A5">
              <w:rPr>
                <w:b/>
              </w:rPr>
              <w:t>Storm water</w:t>
            </w:r>
          </w:p>
          <w:p w14:paraId="66C2D7D0" w14:textId="168B4668" w:rsidR="00555290" w:rsidRDefault="00C274A5" w:rsidP="000A1F96">
            <w:pPr>
              <w:pStyle w:val="TableText"/>
              <w:rPr>
                <w:rFonts w:ascii="Arial" w:hAnsi="Arial" w:cs="Arial"/>
              </w:rPr>
            </w:pPr>
            <w:r>
              <w:t xml:space="preserve">The </w:t>
            </w:r>
            <w:r w:rsidR="00FB69C0">
              <w:t xml:space="preserve">referral noted that the </w:t>
            </w:r>
            <w:r>
              <w:t xml:space="preserve">proposed development is considered to </w:t>
            </w:r>
            <w:r w:rsidRPr="00675035">
              <w:rPr>
                <w:rFonts w:ascii="Arial" w:hAnsi="Arial" w:cs="Arial"/>
              </w:rPr>
              <w:t>likely increase runoff, thus a stormwater management plan demonstrating the proposed development can maintain pre-development runoff flow for both 20% and 1% storm events is required</w:t>
            </w:r>
            <w:r>
              <w:rPr>
                <w:rFonts w:ascii="Arial" w:hAnsi="Arial" w:cs="Arial"/>
              </w:rPr>
              <w:t xml:space="preserve">. </w:t>
            </w:r>
          </w:p>
          <w:p w14:paraId="567B7787" w14:textId="1B0121C3" w:rsidR="009E16E9" w:rsidRDefault="00555290" w:rsidP="000A1F96">
            <w:pPr>
              <w:pStyle w:val="TableText"/>
              <w:rPr>
                <w:rFonts w:ascii="Arial" w:hAnsi="Arial" w:cs="Arial"/>
              </w:rPr>
            </w:pPr>
            <w:r>
              <w:t xml:space="preserve">The Portfolio </w:t>
            </w:r>
            <w:r w:rsidRPr="00675035">
              <w:rPr>
                <w:rFonts w:ascii="Arial" w:hAnsi="Arial" w:cs="Arial"/>
              </w:rPr>
              <w:t xml:space="preserve">General Manager for Community Connections in his letter dated 2 December 2019 (Doc Set ID: 518408) has provided specific dispensations regarding building over </w:t>
            </w:r>
            <w:r>
              <w:rPr>
                <w:rFonts w:ascii="Arial" w:hAnsi="Arial" w:cs="Arial"/>
              </w:rPr>
              <w:t>storm</w:t>
            </w:r>
            <w:r w:rsidRPr="00675035">
              <w:rPr>
                <w:rFonts w:ascii="Arial" w:hAnsi="Arial" w:cs="Arial"/>
              </w:rPr>
              <w:t>water</w:t>
            </w:r>
            <w:r w:rsidR="005913ED">
              <w:rPr>
                <w:rFonts w:ascii="Arial" w:hAnsi="Arial" w:cs="Arial"/>
              </w:rPr>
              <w:t>, water and sewer</w:t>
            </w:r>
            <w:r w:rsidRPr="00675035">
              <w:rPr>
                <w:rFonts w:ascii="Arial" w:hAnsi="Arial" w:cs="Arial"/>
              </w:rPr>
              <w:t xml:space="preserve"> mains</w:t>
            </w:r>
            <w:r>
              <w:rPr>
                <w:rFonts w:ascii="Arial" w:hAnsi="Arial" w:cs="Arial"/>
              </w:rPr>
              <w:t xml:space="preserve">. </w:t>
            </w:r>
          </w:p>
          <w:p w14:paraId="2DC9783E" w14:textId="77777777" w:rsidR="00C274A5" w:rsidRDefault="00C274A5" w:rsidP="000A1F96">
            <w:pPr>
              <w:pStyle w:val="TableText"/>
            </w:pPr>
            <w:r w:rsidRPr="00A2078F">
              <w:rPr>
                <w:b/>
              </w:rPr>
              <w:t xml:space="preserve">Erosion and Sediment Control </w:t>
            </w:r>
          </w:p>
          <w:p w14:paraId="5178D305" w14:textId="77777777" w:rsidR="00C274A5" w:rsidRDefault="00D32F91" w:rsidP="000A1F96">
            <w:pPr>
              <w:pStyle w:val="TableText"/>
            </w:pPr>
            <w:r>
              <w:t xml:space="preserve">An Erosion and Sediment Control Plan should be submitted with the construction certificate. A Soil and Water Management Plan will be required to be implemented for any works causing cover disturbance.  </w:t>
            </w:r>
          </w:p>
          <w:p w14:paraId="2E25E6D1" w14:textId="77777777" w:rsidR="00B36D62" w:rsidRPr="00B36D62" w:rsidRDefault="00B36D62" w:rsidP="000A1F96">
            <w:pPr>
              <w:pStyle w:val="TableText"/>
              <w:rPr>
                <w:b/>
              </w:rPr>
            </w:pPr>
            <w:r w:rsidRPr="00B36D62">
              <w:rPr>
                <w:b/>
              </w:rPr>
              <w:t xml:space="preserve">Traffic and Parking </w:t>
            </w:r>
          </w:p>
          <w:p w14:paraId="692AD453" w14:textId="0A958D49" w:rsidR="00B36D62" w:rsidRDefault="00FB69C0" w:rsidP="000A1F96">
            <w:pPr>
              <w:pStyle w:val="TableText"/>
            </w:pPr>
            <w:r>
              <w:t>The referr</w:t>
            </w:r>
            <w:r w:rsidR="00A2078F">
              <w:t>al noted that the provision</w:t>
            </w:r>
            <w:r>
              <w:t xml:space="preserve"> of parking exceeds the requirements under the Queanbeyan DCP by an additional 14 parking spaces, and that the basement car park includes 2 accessible parking spaces located opposite the lifts. </w:t>
            </w:r>
          </w:p>
          <w:p w14:paraId="35B0FE1B" w14:textId="2621BE7B" w:rsidR="00561E0C" w:rsidRDefault="00FB69C0" w:rsidP="000A1F96">
            <w:pPr>
              <w:pStyle w:val="TableText"/>
            </w:pPr>
            <w:r>
              <w:t xml:space="preserve">The referral also noted that further information was provided by the applicant on 26 June 2020, after Transport for NSW </w:t>
            </w:r>
            <w:r w:rsidR="00C14E67">
              <w:t xml:space="preserve">(TfNSW) </w:t>
            </w:r>
            <w:r>
              <w:t xml:space="preserve">expressed </w:t>
            </w:r>
            <w:r w:rsidR="0068776C">
              <w:t>concern regarding the accuracy of the original Traffic and Parking Assessment lodged with the application.</w:t>
            </w:r>
          </w:p>
          <w:p w14:paraId="3C1D5E4E" w14:textId="6D1E7190" w:rsidR="00561E0C" w:rsidRDefault="00561E0C" w:rsidP="000A1F96">
            <w:pPr>
              <w:pStyle w:val="TableText"/>
            </w:pPr>
            <w:r>
              <w:lastRenderedPageBreak/>
              <w:t>The Local Development Committee reviewed the Traffic and Parking Assessment on 17 June 2020, prior to receiving the applicant’s updated report. The Committee made the following recommendations:</w:t>
            </w:r>
          </w:p>
          <w:p w14:paraId="4E695A95" w14:textId="79F22721" w:rsidR="00561E0C" w:rsidRPr="00675035" w:rsidRDefault="00561E0C" w:rsidP="00561E0C">
            <w:pPr>
              <w:pStyle w:val="TableAlpha"/>
            </w:pPr>
            <w:r w:rsidRPr="00675035">
              <w:t>The busy Pedestrian Crossing on Lowe Street (in front of St Gregory’s Catholic School) should be modif</w:t>
            </w:r>
            <w:r w:rsidR="00453A14">
              <w:t>ied</w:t>
            </w:r>
            <w:r w:rsidRPr="00675035">
              <w:t xml:space="preserve"> to a flagged pedestrian crossing and create a ‘Keep Clear’ zone in front of the Lowe Street car park access.</w:t>
            </w:r>
          </w:p>
          <w:p w14:paraId="3AC4F300" w14:textId="77777777" w:rsidR="00561E0C" w:rsidRPr="00675035" w:rsidRDefault="00561E0C" w:rsidP="00561E0C">
            <w:pPr>
              <w:pStyle w:val="TableAlpha"/>
            </w:pPr>
            <w:r w:rsidRPr="00675035">
              <w:t>The existing traffic study lacks detail; clarification and modelling as to how recommendations were reached, as well as existing and DA traffic generation data calculations, with a 10 year scenario.</w:t>
            </w:r>
          </w:p>
          <w:p w14:paraId="30AB1DEB" w14:textId="77777777" w:rsidR="00561E0C" w:rsidRPr="00675035" w:rsidRDefault="00561E0C" w:rsidP="00561E0C">
            <w:pPr>
              <w:pStyle w:val="TableAlpha"/>
            </w:pPr>
            <w:r w:rsidRPr="00675035">
              <w:t>Numerous traffic issues in the last 12 months.</w:t>
            </w:r>
          </w:p>
          <w:p w14:paraId="2FA78ED3" w14:textId="77777777" w:rsidR="00561E0C" w:rsidRPr="00675035" w:rsidRDefault="00561E0C" w:rsidP="00561E0C">
            <w:pPr>
              <w:pStyle w:val="TableAlpha"/>
            </w:pPr>
            <w:r w:rsidRPr="00675035">
              <w:t>The Lowe Street car park is currently used for parents and carers due to it being an infant school requiring adult accompanied drop off.</w:t>
            </w:r>
          </w:p>
          <w:p w14:paraId="4A1EEEF2" w14:textId="216AFA8D" w:rsidR="00561E0C" w:rsidRPr="00675035" w:rsidRDefault="00561E0C" w:rsidP="00561E0C">
            <w:pPr>
              <w:pStyle w:val="TableAlpha"/>
            </w:pPr>
            <w:r w:rsidRPr="00675035">
              <w:t>There was a question about the loss of 60 car parks, but it was confirmed that there should only be a temporary reduction during the construction phase.  The total car park capacity will actually increase as a result of this development.</w:t>
            </w:r>
          </w:p>
          <w:p w14:paraId="1FC19FE5" w14:textId="77777777" w:rsidR="00561E0C" w:rsidRPr="00675035" w:rsidRDefault="00561E0C" w:rsidP="00561E0C">
            <w:pPr>
              <w:pStyle w:val="TableAlpha"/>
            </w:pPr>
            <w:r w:rsidRPr="00675035">
              <w:t>Left turn only into Lowe Street to minimise the school pedestrian crossing exposure to cars</w:t>
            </w:r>
          </w:p>
          <w:p w14:paraId="621FCFD5" w14:textId="77777777" w:rsidR="00561E0C" w:rsidRPr="00675035" w:rsidRDefault="00561E0C" w:rsidP="00561E0C">
            <w:pPr>
              <w:pStyle w:val="TableAlpha"/>
            </w:pPr>
            <w:proofErr w:type="spellStart"/>
            <w:r w:rsidRPr="00675035">
              <w:t>Ellendon</w:t>
            </w:r>
            <w:proofErr w:type="spellEnd"/>
            <w:r w:rsidRPr="00675035">
              <w:t xml:space="preserve"> Drive extension (EDE) is due to open in July and will likely reduce some traffic in the area.  However, it was noted that this will not reduce the school related traffic.</w:t>
            </w:r>
          </w:p>
          <w:p w14:paraId="79750EB1" w14:textId="77777777" w:rsidR="00561E0C" w:rsidRPr="00675035" w:rsidRDefault="00561E0C" w:rsidP="00561E0C">
            <w:pPr>
              <w:pStyle w:val="TableAlpha"/>
            </w:pPr>
            <w:r w:rsidRPr="00675035">
              <w:t>RMS main concern is the resultant impact to traffic flow from Lowe Street to Canberra Avenue.</w:t>
            </w:r>
          </w:p>
          <w:p w14:paraId="5E85025B" w14:textId="55F0045D" w:rsidR="0068776C" w:rsidRDefault="00561E0C" w:rsidP="00561E0C">
            <w:pPr>
              <w:pStyle w:val="TableText"/>
            </w:pPr>
            <w:r>
              <w:t xml:space="preserve">The referral notes that the additional </w:t>
            </w:r>
            <w:r w:rsidR="00453A14">
              <w:t>information</w:t>
            </w:r>
            <w:r w:rsidR="005913ED">
              <w:t xml:space="preserve"> </w:t>
            </w:r>
            <w:r>
              <w:t xml:space="preserve">received from the applicant is sufficient to address all concerns from the Committee. </w:t>
            </w:r>
          </w:p>
          <w:p w14:paraId="5152E3FC" w14:textId="77777777" w:rsidR="0063187D" w:rsidRPr="0063187D" w:rsidRDefault="0063187D" w:rsidP="00561E0C">
            <w:pPr>
              <w:pStyle w:val="TableText"/>
              <w:rPr>
                <w:b/>
              </w:rPr>
            </w:pPr>
            <w:r w:rsidRPr="0063187D">
              <w:rPr>
                <w:b/>
              </w:rPr>
              <w:t>Entrance and Access</w:t>
            </w:r>
          </w:p>
          <w:p w14:paraId="0498717D" w14:textId="77777777" w:rsidR="0063187D" w:rsidRDefault="0063187D" w:rsidP="00561E0C">
            <w:pPr>
              <w:pStyle w:val="TableText"/>
            </w:pPr>
            <w:r>
              <w:t>The referral notes that the underground car park demonstrates two way access and egress, as required under the Queanbeyan DCP 2012. Access provides appropriate manoeuvrability for passenger/private vehicles, including functionality of car parking areas, and can accommodate B99 vehicles. The delivery access (service lane) from Crawford Street has demonstrated appropriate access and manoeuvrability for a heavy rigid 12.5m vehicle.</w:t>
            </w:r>
          </w:p>
          <w:p w14:paraId="072FA944" w14:textId="77777777" w:rsidR="00EE4B75" w:rsidRDefault="00EE4B75" w:rsidP="00561E0C">
            <w:pPr>
              <w:pStyle w:val="TableText"/>
            </w:pPr>
            <w:r>
              <w:t>The referral also noted potential impact on the Lowe Street pedestrian crossing adjacent to Saint Gregory’s Primary School. However, the additional information from the applicant regarding traffic impacts (e.g. movement, volume, generation) is understood.</w:t>
            </w:r>
          </w:p>
          <w:p w14:paraId="17539885" w14:textId="77777777" w:rsidR="00EE4B75" w:rsidRPr="00EE4B75" w:rsidRDefault="00EE4B75" w:rsidP="00561E0C">
            <w:pPr>
              <w:pStyle w:val="TableText"/>
              <w:rPr>
                <w:b/>
              </w:rPr>
            </w:pPr>
            <w:r w:rsidRPr="00EE4B75">
              <w:rPr>
                <w:b/>
              </w:rPr>
              <w:t>Bushfire</w:t>
            </w:r>
          </w:p>
          <w:p w14:paraId="2114675B" w14:textId="77777777" w:rsidR="00EE4B75" w:rsidRDefault="00EE4B75" w:rsidP="00EE4B75">
            <w:pPr>
              <w:pStyle w:val="TableText"/>
            </w:pPr>
            <w:r>
              <w:t>Not applicable.</w:t>
            </w:r>
          </w:p>
          <w:p w14:paraId="7FCA98E1" w14:textId="77777777" w:rsidR="00EE4B75" w:rsidRPr="00EE4B75" w:rsidRDefault="00EE4B75" w:rsidP="00EE4B75">
            <w:pPr>
              <w:pStyle w:val="TableText"/>
              <w:rPr>
                <w:b/>
              </w:rPr>
            </w:pPr>
            <w:r w:rsidRPr="00EE4B75">
              <w:rPr>
                <w:b/>
              </w:rPr>
              <w:t>Flooding</w:t>
            </w:r>
          </w:p>
          <w:p w14:paraId="1FF3E812" w14:textId="77777777" w:rsidR="00EE4B75" w:rsidRDefault="00EE4B75" w:rsidP="00E84055">
            <w:pPr>
              <w:pStyle w:val="TableText"/>
            </w:pPr>
            <w:r>
              <w:t xml:space="preserve">The referral notes that the subject site is located in the Flood Planning Area and acknowledged that the proposed building had been designed with a ground floor level of RL567.02 to comply with the flood planning level and 500mm freeboard. </w:t>
            </w:r>
            <w:r w:rsidR="00E84055">
              <w:t xml:space="preserve">The access restrictions and hydraulic system to manage potential flooding in the basement car park was also noted, but the referral officer was unable to locate the stormwater pump out details on the car park design. </w:t>
            </w:r>
          </w:p>
          <w:p w14:paraId="4CFA1426" w14:textId="77777777" w:rsidR="00E84055" w:rsidRDefault="00E84055" w:rsidP="00E84055">
            <w:pPr>
              <w:pStyle w:val="TableText"/>
            </w:pPr>
            <w:r>
              <w:t xml:space="preserve">A dispensation was provided by the Portfolio General Manager for Community Connections exempting the basement car park from achieving floor levels more than 2m below the flood planning level. </w:t>
            </w:r>
          </w:p>
          <w:p w14:paraId="63CF3319" w14:textId="77777777" w:rsidR="00A75160" w:rsidRPr="00A75160" w:rsidRDefault="00A75160" w:rsidP="00A75160">
            <w:pPr>
              <w:pStyle w:val="TableText"/>
              <w:rPr>
                <w:b/>
              </w:rPr>
            </w:pPr>
            <w:r w:rsidRPr="00A75160">
              <w:rPr>
                <w:b/>
              </w:rPr>
              <w:t>Section 64 Contributions</w:t>
            </w:r>
          </w:p>
          <w:p w14:paraId="3F1C8D81" w14:textId="4CB13086" w:rsidR="00A75160" w:rsidRDefault="00A75160" w:rsidP="00A75160">
            <w:pPr>
              <w:pStyle w:val="TableText"/>
            </w:pPr>
            <w:r w:rsidRPr="00A75160">
              <w:t xml:space="preserve">Based on the gross floor area for the proposed building, the following Section 64 contributions were calculated with reference to the NSW Water Directorate Determinations of Equivalent Tenements – April 2017 for office/administration </w:t>
            </w:r>
            <w:r w:rsidRPr="00A75160">
              <w:lastRenderedPageBreak/>
              <w:t>developments on page 32.  Before applying any credit, 51.51 E.T.s w</w:t>
            </w:r>
            <w:r w:rsidR="00453A14">
              <w:t>ere</w:t>
            </w:r>
            <w:r w:rsidRPr="00A75160">
              <w:t xml:space="preserve"> calculated for this development.  Factoring the 5.22 E.T. credit, the water and sewer headworks contributions for Queanbeyan are calculated at 46.28 E.T. and 46.28 E.T. respectfully for the following amounts;</w:t>
            </w:r>
          </w:p>
          <w:p w14:paraId="3D7E9292" w14:textId="4B84C23D" w:rsidR="00A75160" w:rsidRPr="00A75160" w:rsidRDefault="00A75160" w:rsidP="00A75160">
            <w:pPr>
              <w:pStyle w:val="TableBullet"/>
              <w:rPr>
                <w:rFonts w:eastAsiaTheme="minorHAnsi"/>
              </w:rPr>
            </w:pPr>
            <w:r w:rsidRPr="00A75160">
              <w:rPr>
                <w:rFonts w:eastAsiaTheme="minorHAnsi"/>
              </w:rPr>
              <w:t>Water – Queanbeyan Zone for 46.28 E.T.s = ($4,475.26 x 46.28) = $207,115.</w:t>
            </w:r>
          </w:p>
          <w:p w14:paraId="47E04919" w14:textId="3BC9B106" w:rsidR="00A75160" w:rsidRDefault="00A75160" w:rsidP="00A75160">
            <w:pPr>
              <w:pStyle w:val="TableBullet"/>
            </w:pPr>
            <w:r w:rsidRPr="00A75160">
              <w:rPr>
                <w:rFonts w:eastAsiaTheme="minorHAnsi"/>
              </w:rPr>
              <w:t>Sewer – East Zone for 46.28 E.T.s = ($1,501.47 x 46.28) = $69,488.</w:t>
            </w:r>
          </w:p>
        </w:tc>
      </w:tr>
      <w:tr w:rsidR="000A1F96" w14:paraId="3C69AF5A" w14:textId="77777777" w:rsidTr="000A1F96">
        <w:tc>
          <w:tcPr>
            <w:tcW w:w="1054" w:type="pct"/>
          </w:tcPr>
          <w:p w14:paraId="747C8BD0" w14:textId="11024428" w:rsidR="000A1F96" w:rsidRDefault="002754C7" w:rsidP="000A1F96">
            <w:pPr>
              <w:pStyle w:val="TableText"/>
            </w:pPr>
            <w:r>
              <w:lastRenderedPageBreak/>
              <w:t xml:space="preserve">Contamination </w:t>
            </w:r>
          </w:p>
        </w:tc>
        <w:tc>
          <w:tcPr>
            <w:tcW w:w="3946" w:type="pct"/>
          </w:tcPr>
          <w:p w14:paraId="3849546E" w14:textId="186604E4" w:rsidR="000A1F96" w:rsidRDefault="00696FFC" w:rsidP="000A1F96">
            <w:pPr>
              <w:pStyle w:val="TableText"/>
            </w:pPr>
            <w:r>
              <w:t>Referral response dated 6 April 2020.</w:t>
            </w:r>
          </w:p>
          <w:p w14:paraId="690C9183" w14:textId="24EF1F67" w:rsidR="00696FFC" w:rsidRDefault="00696FFC" w:rsidP="00DD4E1D">
            <w:pPr>
              <w:pStyle w:val="TableText"/>
            </w:pPr>
            <w:r>
              <w:t xml:space="preserve">The proposal </w:t>
            </w:r>
            <w:r w:rsidR="00DD4E1D">
              <w:t xml:space="preserve">includes a Preliminary (Phase 1) Site Investigation and Soil Contamination Assessment which were assessed </w:t>
            </w:r>
            <w:r w:rsidR="00453A14">
              <w:t>b</w:t>
            </w:r>
            <w:r w:rsidR="00DD4E1D">
              <w:t>y Council as part of this referral. It was considered that the proposed use of the site for a public administration building is consistent with previous use of the site for commercial purposes, and the proposal is satisfactory in terms of remediation and contamination, subject to the recommended conditions of consent.</w:t>
            </w:r>
          </w:p>
        </w:tc>
      </w:tr>
      <w:tr w:rsidR="000A1F96" w14:paraId="2B1E8726" w14:textId="77777777" w:rsidTr="000A1F96">
        <w:tc>
          <w:tcPr>
            <w:tcW w:w="1054" w:type="pct"/>
          </w:tcPr>
          <w:p w14:paraId="3D78F0E1" w14:textId="5ACA2492" w:rsidR="000A1F96" w:rsidRDefault="002754C7" w:rsidP="000A1F96">
            <w:pPr>
              <w:pStyle w:val="TableText"/>
            </w:pPr>
            <w:r>
              <w:t xml:space="preserve">Trade Waste </w:t>
            </w:r>
          </w:p>
        </w:tc>
        <w:tc>
          <w:tcPr>
            <w:tcW w:w="3946" w:type="pct"/>
          </w:tcPr>
          <w:p w14:paraId="26FCFF3D" w14:textId="77777777" w:rsidR="000A1F96" w:rsidRDefault="002754C7" w:rsidP="000A1F96">
            <w:pPr>
              <w:pStyle w:val="TableText"/>
            </w:pPr>
            <w:r>
              <w:t>Referral response dated 10 February 2020.</w:t>
            </w:r>
          </w:p>
          <w:p w14:paraId="63BDB1C4" w14:textId="0A4ABB7F" w:rsidR="002754C7" w:rsidRDefault="00A81407" w:rsidP="000A1F96">
            <w:pPr>
              <w:pStyle w:val="TableText"/>
            </w:pPr>
            <w:r>
              <w:t xml:space="preserve">The referral noted the proposed café will require a grease arrestor and must submit a </w:t>
            </w:r>
            <w:r w:rsidR="002754C7" w:rsidRPr="002754C7">
              <w:t>Liquid Trade Waste application</w:t>
            </w:r>
            <w:r>
              <w:t xml:space="preserve"> as part of the building approval.</w:t>
            </w:r>
            <w:r w:rsidR="002754C7" w:rsidRPr="002754C7">
              <w:t xml:space="preserve"> </w:t>
            </w:r>
          </w:p>
        </w:tc>
      </w:tr>
      <w:tr w:rsidR="00125C7B" w14:paraId="66307182" w14:textId="77777777" w:rsidTr="000A1F96">
        <w:tc>
          <w:tcPr>
            <w:tcW w:w="1054" w:type="pct"/>
          </w:tcPr>
          <w:p w14:paraId="07D28818" w14:textId="61BE54C1" w:rsidR="00125C7B" w:rsidRDefault="00125C7B" w:rsidP="000A1F96">
            <w:pPr>
              <w:pStyle w:val="TableText"/>
            </w:pPr>
            <w:r>
              <w:t xml:space="preserve">Tree </w:t>
            </w:r>
            <w:r w:rsidR="00655B9F">
              <w:t xml:space="preserve">Management </w:t>
            </w:r>
          </w:p>
        </w:tc>
        <w:tc>
          <w:tcPr>
            <w:tcW w:w="3946" w:type="pct"/>
          </w:tcPr>
          <w:p w14:paraId="16C9281D" w14:textId="395C068D" w:rsidR="00655B9F" w:rsidRDefault="00655B9F" w:rsidP="000A1F96">
            <w:pPr>
              <w:pStyle w:val="TableText"/>
            </w:pPr>
            <w:r>
              <w:t>Referral response dated 20 February 2020.</w:t>
            </w:r>
          </w:p>
          <w:p w14:paraId="01550847" w14:textId="26C7FB19" w:rsidR="00AE7A82" w:rsidRDefault="00655B9F" w:rsidP="00AE7A82">
            <w:pPr>
              <w:pStyle w:val="TableText"/>
            </w:pPr>
            <w:r>
              <w:t>Council’s Tree Protection Officer provided a</w:t>
            </w:r>
            <w:r w:rsidR="00125C7B">
              <w:t xml:space="preserve"> Construction Impact Report </w:t>
            </w:r>
            <w:r>
              <w:t xml:space="preserve">that </w:t>
            </w:r>
            <w:r w:rsidR="00125C7B">
              <w:t>was commissioned by Council</w:t>
            </w:r>
            <w:r>
              <w:t xml:space="preserve"> in September 2019. It</w:t>
            </w:r>
            <w:r w:rsidR="00125C7B">
              <w:t xml:space="preserve"> includes a Tree Protection Plan. The Report </w:t>
            </w:r>
            <w:r w:rsidR="00AE7A82">
              <w:t xml:space="preserve">includes recommendations for the retention of the two </w:t>
            </w:r>
            <w:r w:rsidR="00B55F05">
              <w:t>pin O</w:t>
            </w:r>
            <w:r w:rsidR="00AE7A82">
              <w:t>aks in Crawford Street (trees 1 and 2 in the report)</w:t>
            </w:r>
            <w:r w:rsidR="00B55F05">
              <w:t xml:space="preserve"> and the London Pla</w:t>
            </w:r>
            <w:r w:rsidR="00AE7A82">
              <w:t>n</w:t>
            </w:r>
            <w:r w:rsidR="00B55F05">
              <w:t>e</w:t>
            </w:r>
            <w:r w:rsidR="00AE7A82">
              <w:t xml:space="preserve"> tree </w:t>
            </w:r>
            <w:r w:rsidR="00B55F05">
              <w:t>(tree 4 in the report).  Conditions of consent will be included to ensure the protection of these trees.</w:t>
            </w:r>
          </w:p>
          <w:p w14:paraId="32BBB58B" w14:textId="40239C8C" w:rsidR="00125C7B" w:rsidRDefault="00B55F05" w:rsidP="00AE7A82">
            <w:pPr>
              <w:pStyle w:val="TableText"/>
            </w:pPr>
            <w:r>
              <w:t>It is also noted that</w:t>
            </w:r>
            <w:r w:rsidR="00453A14">
              <w:t xml:space="preserve"> access via the lane has been made one way off Crawford Street.  This will prevent left turns from the lane into Crawford Street which will significantly reduce the impact on tree no.1.</w:t>
            </w:r>
          </w:p>
        </w:tc>
      </w:tr>
    </w:tbl>
    <w:p w14:paraId="0A5B8597" w14:textId="51DD56CE" w:rsidR="000A1F96" w:rsidRDefault="000A1F96" w:rsidP="000A1F96">
      <w:pPr>
        <w:pStyle w:val="Heading2"/>
      </w:pPr>
      <w:bookmarkStart w:id="21" w:name="_Toc48230311"/>
      <w:r>
        <w:t>External referrals</w:t>
      </w:r>
      <w:bookmarkEnd w:id="21"/>
    </w:p>
    <w:p w14:paraId="0E7687BF" w14:textId="7D61ECEC" w:rsidR="000A1F96" w:rsidRDefault="000A1F96" w:rsidP="000A1F96">
      <w:pPr>
        <w:pStyle w:val="BodyText"/>
      </w:pPr>
      <w:r>
        <w:t>The following external referrals were also undertaken:</w:t>
      </w:r>
    </w:p>
    <w:p w14:paraId="426F0703" w14:textId="51AF4831" w:rsidR="000A1F96" w:rsidRDefault="000A1F96" w:rsidP="000A1F96">
      <w:pPr>
        <w:pStyle w:val="TableCaption"/>
      </w:pPr>
      <w:bookmarkStart w:id="22" w:name="_Ref40823579"/>
      <w:bookmarkStart w:id="23" w:name="_Toc48230345"/>
      <w:r>
        <w:t>Table </w:t>
      </w:r>
      <w:r w:rsidR="0070791B">
        <w:rPr>
          <w:noProof/>
        </w:rPr>
        <w:fldChar w:fldCharType="begin"/>
      </w:r>
      <w:r w:rsidR="0070791B">
        <w:rPr>
          <w:noProof/>
        </w:rPr>
        <w:instrText xml:space="preserve"> SEQ Table \* ARABIC </w:instrText>
      </w:r>
      <w:r w:rsidR="0070791B">
        <w:rPr>
          <w:noProof/>
        </w:rPr>
        <w:fldChar w:fldCharType="separate"/>
      </w:r>
      <w:r w:rsidR="008F4696">
        <w:rPr>
          <w:noProof/>
        </w:rPr>
        <w:t>3</w:t>
      </w:r>
      <w:r w:rsidR="0070791B">
        <w:rPr>
          <w:noProof/>
        </w:rPr>
        <w:fldChar w:fldCharType="end"/>
      </w:r>
      <w:bookmarkEnd w:id="22"/>
      <w:r>
        <w:tab/>
      </w:r>
      <w:r w:rsidR="00FE5C2C">
        <w:t>External Referrals</w:t>
      </w:r>
      <w:bookmarkEnd w:id="23"/>
      <w:r w:rsidR="00FE5C2C">
        <w:t xml:space="preserve"> </w:t>
      </w:r>
    </w:p>
    <w:tbl>
      <w:tblPr>
        <w:tblStyle w:val="GreenLinedTable"/>
        <w:tblW w:w="5000" w:type="pct"/>
        <w:tblLook w:val="0620" w:firstRow="1" w:lastRow="0" w:firstColumn="0" w:lastColumn="0" w:noHBand="1" w:noVBand="1"/>
      </w:tblPr>
      <w:tblGrid>
        <w:gridCol w:w="2127"/>
        <w:gridCol w:w="7965"/>
      </w:tblGrid>
      <w:tr w:rsidR="000A1F96" w14:paraId="06D122AE" w14:textId="77777777" w:rsidTr="000A1F96">
        <w:trPr>
          <w:cnfStyle w:val="100000000000" w:firstRow="1" w:lastRow="0" w:firstColumn="0" w:lastColumn="0" w:oddVBand="0" w:evenVBand="0" w:oddHBand="0" w:evenHBand="0" w:firstRowFirstColumn="0" w:firstRowLastColumn="0" w:lastRowFirstColumn="0" w:lastRowLastColumn="0"/>
          <w:tblHeader/>
        </w:trPr>
        <w:tc>
          <w:tcPr>
            <w:tcW w:w="1054" w:type="pct"/>
          </w:tcPr>
          <w:p w14:paraId="36CAE96B" w14:textId="73598060" w:rsidR="000A1F96" w:rsidRDefault="000A1F96" w:rsidP="000A1F96">
            <w:pPr>
              <w:pStyle w:val="TableHeadingGrey"/>
            </w:pPr>
            <w:r>
              <w:t>Authority</w:t>
            </w:r>
          </w:p>
        </w:tc>
        <w:tc>
          <w:tcPr>
            <w:tcW w:w="3946" w:type="pct"/>
          </w:tcPr>
          <w:p w14:paraId="216983AB" w14:textId="1CDA1DDA" w:rsidR="000A1F96" w:rsidRDefault="000A1F96" w:rsidP="000A1F96">
            <w:pPr>
              <w:pStyle w:val="TableHeadingGrey"/>
            </w:pPr>
            <w:r>
              <w:t>Comment</w:t>
            </w:r>
          </w:p>
        </w:tc>
      </w:tr>
      <w:tr w:rsidR="000A1F96" w14:paraId="4092A0AE" w14:textId="77777777" w:rsidTr="000A1F96">
        <w:tc>
          <w:tcPr>
            <w:tcW w:w="1054" w:type="pct"/>
          </w:tcPr>
          <w:p w14:paraId="202C2735" w14:textId="2597C530" w:rsidR="000A1F96" w:rsidRDefault="00785704" w:rsidP="000A1F96">
            <w:pPr>
              <w:pStyle w:val="TableText"/>
            </w:pPr>
            <w:r>
              <w:t>NSW Police</w:t>
            </w:r>
            <w:r w:rsidR="00BB3F1C">
              <w:t xml:space="preserve"> (CPTED)</w:t>
            </w:r>
          </w:p>
        </w:tc>
        <w:tc>
          <w:tcPr>
            <w:tcW w:w="3946" w:type="pct"/>
          </w:tcPr>
          <w:p w14:paraId="31CD3442" w14:textId="6BFF543B" w:rsidR="00AF5D8B" w:rsidRDefault="00AF5D8B" w:rsidP="00AF5D8B">
            <w:pPr>
              <w:pStyle w:val="TableText"/>
            </w:pPr>
            <w:r>
              <w:t>Referral response dated 13 March 2020</w:t>
            </w:r>
            <w:r w:rsidR="002754C7">
              <w:t>.</w:t>
            </w:r>
          </w:p>
          <w:p w14:paraId="0E3449C6" w14:textId="2608A007" w:rsidR="00AF5D8B" w:rsidRDefault="00AF5D8B" w:rsidP="000A1F96">
            <w:pPr>
              <w:pStyle w:val="TableText"/>
            </w:pPr>
            <w:r>
              <w:t xml:space="preserve">The referral was generally supportive and included </w:t>
            </w:r>
            <w:r w:rsidR="002754C7">
              <w:t xml:space="preserve">general advice and </w:t>
            </w:r>
            <w:r>
              <w:t>recommendations for materials, finishes and operation of the building post-construction, as follows:</w:t>
            </w:r>
          </w:p>
          <w:p w14:paraId="1824639F" w14:textId="670E5C3B" w:rsidR="00AF5D8B" w:rsidRDefault="00AF5D8B" w:rsidP="002754C7">
            <w:pPr>
              <w:pStyle w:val="TableBullet"/>
            </w:pPr>
            <w:r>
              <w:t>Consideration of graffiti resistant paint or materials</w:t>
            </w:r>
            <w:r w:rsidR="002754C7">
              <w:t>.</w:t>
            </w:r>
          </w:p>
          <w:p w14:paraId="0186F2CB" w14:textId="748654E7" w:rsidR="00AF5D8B" w:rsidRDefault="00AF5D8B" w:rsidP="002754C7">
            <w:pPr>
              <w:pStyle w:val="TableBullet"/>
            </w:pPr>
            <w:r>
              <w:t>Shatter resistan</w:t>
            </w:r>
            <w:r w:rsidR="000A3872">
              <w:t>t</w:t>
            </w:r>
            <w:r>
              <w:t xml:space="preserve"> glass</w:t>
            </w:r>
            <w:r w:rsidR="002754C7">
              <w:t>.</w:t>
            </w:r>
          </w:p>
          <w:p w14:paraId="6FEC080F" w14:textId="49C3AB5A" w:rsidR="000A1F96" w:rsidRDefault="002754C7" w:rsidP="002754C7">
            <w:pPr>
              <w:pStyle w:val="TableBullet"/>
            </w:pPr>
            <w:r>
              <w:t>Installation of bollards or similar structures on the Crawford Street frontage to prevent vehicle movement on</w:t>
            </w:r>
            <w:r w:rsidR="000A3872">
              <w:t>to</w:t>
            </w:r>
            <w:r>
              <w:t xml:space="preserve"> the forecourt area.</w:t>
            </w:r>
          </w:p>
          <w:p w14:paraId="66EDF3B8" w14:textId="460FF01B" w:rsidR="002754C7" w:rsidRDefault="002754C7" w:rsidP="002754C7">
            <w:pPr>
              <w:pStyle w:val="TableBullet"/>
            </w:pPr>
            <w:r>
              <w:t>Installation of skate stoppers on the street furniture or other structure to prevent skateboarders using them.</w:t>
            </w:r>
          </w:p>
          <w:p w14:paraId="7E5FCF8C" w14:textId="77777777" w:rsidR="002754C7" w:rsidRDefault="002754C7" w:rsidP="002754C7">
            <w:pPr>
              <w:pStyle w:val="TableBullet"/>
            </w:pPr>
            <w:r>
              <w:t>Installation of ‘Alcohol Free Zone’ signs in the outdoor area.</w:t>
            </w:r>
          </w:p>
          <w:p w14:paraId="58E8E65B" w14:textId="1824CE98" w:rsidR="002754C7" w:rsidRDefault="002754C7" w:rsidP="002754C7">
            <w:pPr>
              <w:pStyle w:val="TableBullet"/>
            </w:pPr>
            <w:r>
              <w:t xml:space="preserve">Use of street lighting and surveillance (e.g. CCTV monitoring) </w:t>
            </w:r>
          </w:p>
        </w:tc>
      </w:tr>
      <w:tr w:rsidR="000A1F96" w14:paraId="2945405C" w14:textId="77777777" w:rsidTr="004C12F1">
        <w:trPr>
          <w:trHeight w:val="2028"/>
        </w:trPr>
        <w:tc>
          <w:tcPr>
            <w:tcW w:w="1054" w:type="pct"/>
          </w:tcPr>
          <w:p w14:paraId="542AFF90" w14:textId="422CDB2B" w:rsidR="000A1F96" w:rsidRDefault="00C14E67" w:rsidP="000A1F96">
            <w:pPr>
              <w:pStyle w:val="TableText"/>
            </w:pPr>
            <w:r>
              <w:lastRenderedPageBreak/>
              <w:t>Tf</w:t>
            </w:r>
            <w:r w:rsidR="00BB3F1C">
              <w:t>NSW</w:t>
            </w:r>
          </w:p>
        </w:tc>
        <w:tc>
          <w:tcPr>
            <w:tcW w:w="3946" w:type="pct"/>
          </w:tcPr>
          <w:p w14:paraId="31064868" w14:textId="518EBD41" w:rsidR="000A1F96" w:rsidRDefault="00BB3F1C" w:rsidP="000A1F96">
            <w:pPr>
              <w:pStyle w:val="TableText"/>
            </w:pPr>
            <w:r>
              <w:t>Referral response dated 3 March 2020</w:t>
            </w:r>
            <w:r w:rsidR="002754C7">
              <w:t>.</w:t>
            </w:r>
          </w:p>
          <w:p w14:paraId="63824913" w14:textId="77777777" w:rsidR="00FB69C0" w:rsidRDefault="00BB3F1C" w:rsidP="00FB69C0">
            <w:pPr>
              <w:pStyle w:val="TableText"/>
            </w:pPr>
            <w:r w:rsidRPr="00BB3F1C">
              <w:t>TfNSW note</w:t>
            </w:r>
            <w:r>
              <w:t>d</w:t>
            </w:r>
            <w:r w:rsidRPr="00BB3F1C">
              <w:t xml:space="preserve"> </w:t>
            </w:r>
            <w:r>
              <w:t>that it was unclear how the</w:t>
            </w:r>
            <w:r w:rsidRPr="00BB3F1C">
              <w:t xml:space="preserve"> traffic generation volumes in Table 3 and Table 4 of the Traffic and Parking</w:t>
            </w:r>
            <w:r>
              <w:t xml:space="preserve"> </w:t>
            </w:r>
            <w:r w:rsidRPr="00BB3F1C">
              <w:t>Assessment Report have been calculated.</w:t>
            </w:r>
            <w:r>
              <w:t xml:space="preserve"> Further information was requested to provide a </w:t>
            </w:r>
            <w:r w:rsidRPr="00BB3F1C">
              <w:t>detailed description of existing and predicted traffic movements</w:t>
            </w:r>
            <w:r>
              <w:t xml:space="preserve">, including traffic modelling if there is a likely to be an increase in traffic generated by the proposed development (e.g. SIDRA modelling). </w:t>
            </w:r>
          </w:p>
          <w:p w14:paraId="109B14AD" w14:textId="49E64EF7" w:rsidR="00FB69C0" w:rsidRDefault="00FB69C0" w:rsidP="00FB69C0">
            <w:pPr>
              <w:pStyle w:val="TableText"/>
            </w:pPr>
            <w:r>
              <w:t xml:space="preserve">The applicant provided further information on 26 June 2020 which was referred to TfNSW for comment. </w:t>
            </w:r>
            <w:r w:rsidR="004C12F1">
              <w:t xml:space="preserve">On 10 August 2020, TfNSW confirmed it had reviewed the further information and was satisfied that the proposed development and associated traffic generation and movements will not have a significant impact on State roads. </w:t>
            </w:r>
          </w:p>
        </w:tc>
      </w:tr>
      <w:tr w:rsidR="00430C15" w14:paraId="6BF47AEC" w14:textId="77777777" w:rsidTr="004C12F1">
        <w:trPr>
          <w:trHeight w:val="2028"/>
        </w:trPr>
        <w:tc>
          <w:tcPr>
            <w:tcW w:w="1054" w:type="pct"/>
          </w:tcPr>
          <w:p w14:paraId="7908496D" w14:textId="6D2D43A3" w:rsidR="00430C15" w:rsidRDefault="00430C15" w:rsidP="00430C15">
            <w:pPr>
              <w:pStyle w:val="TableText"/>
            </w:pPr>
            <w:r>
              <w:t>Essential Energy</w:t>
            </w:r>
          </w:p>
        </w:tc>
        <w:tc>
          <w:tcPr>
            <w:tcW w:w="3946" w:type="pct"/>
          </w:tcPr>
          <w:p w14:paraId="20F34786" w14:textId="49921793" w:rsidR="00430C15" w:rsidRDefault="00430C15" w:rsidP="00430C15">
            <w:pPr>
              <w:pStyle w:val="TableText"/>
            </w:pPr>
            <w:r>
              <w:t>Referral response dated 27 August 2020.</w:t>
            </w:r>
          </w:p>
          <w:p w14:paraId="278C5211" w14:textId="60C6C0FA" w:rsidR="00430C15" w:rsidRDefault="00430C15" w:rsidP="00430C15">
            <w:pPr>
              <w:pStyle w:val="TableText"/>
            </w:pPr>
            <w:r w:rsidRPr="00430C15">
              <w:t>An email response was received providing  comments  that</w:t>
            </w:r>
            <w:r w:rsidR="007C5879">
              <w:t xml:space="preserve"> ‘</w:t>
            </w:r>
            <w:r w:rsidR="007C5879" w:rsidRPr="007C5879">
              <w:t>Strictly based on the documents submitted and provided that the existing powerlines are relocated to a location suitable to Essential Energy in accordance with the usual Contestable Works process, Essential Energy has no comments to make as to potential safety risks arising from the proposed development.</w:t>
            </w:r>
            <w:r w:rsidR="007C5879">
              <w:t xml:space="preserve">’ </w:t>
            </w:r>
            <w:r w:rsidRPr="00430C15">
              <w:t xml:space="preserve">but has provided general comments.  </w:t>
            </w:r>
          </w:p>
          <w:p w14:paraId="049F3F3E" w14:textId="2CADFCA8" w:rsidR="00430C15" w:rsidRDefault="00430C15" w:rsidP="00430C15">
            <w:pPr>
              <w:pStyle w:val="TableText"/>
            </w:pPr>
            <w:r w:rsidRPr="00430C15">
              <w:t>Comments provided from Essential Energy will be placed</w:t>
            </w:r>
            <w:r>
              <w:t xml:space="preserve"> on the development consent (if g</w:t>
            </w:r>
            <w:r w:rsidRPr="00430C15">
              <w:t>ranted) as advisory notes.</w:t>
            </w:r>
          </w:p>
          <w:p w14:paraId="4DF5DB8C" w14:textId="77777777" w:rsidR="00430C15" w:rsidRDefault="00430C15" w:rsidP="000A1F96">
            <w:pPr>
              <w:pStyle w:val="TableText"/>
            </w:pPr>
          </w:p>
        </w:tc>
      </w:tr>
    </w:tbl>
    <w:p w14:paraId="30CB1392" w14:textId="77777777" w:rsidR="000A1F96" w:rsidRPr="000A1F96" w:rsidRDefault="000A1F96" w:rsidP="000A1F96">
      <w:pPr>
        <w:pStyle w:val="BodyText"/>
      </w:pPr>
    </w:p>
    <w:p w14:paraId="17360ECC" w14:textId="3006F99A" w:rsidR="00356C78" w:rsidRDefault="00356C78" w:rsidP="00356C78">
      <w:pPr>
        <w:pStyle w:val="Heading1"/>
      </w:pPr>
      <w:bookmarkStart w:id="24" w:name="_Toc48230312"/>
      <w:r>
        <w:lastRenderedPageBreak/>
        <w:t>Assessment</w:t>
      </w:r>
      <w:bookmarkEnd w:id="24"/>
    </w:p>
    <w:p w14:paraId="56643452" w14:textId="16A25AFF" w:rsidR="00356C78" w:rsidRDefault="00356C78" w:rsidP="00356C78">
      <w:pPr>
        <w:pStyle w:val="BodyText"/>
      </w:pPr>
      <w:r>
        <w:t xml:space="preserve">The proposed development has been assessed in respect of the relevant matters for consideration under </w:t>
      </w:r>
      <w:r w:rsidR="00B71213">
        <w:t>s</w:t>
      </w:r>
      <w:r>
        <w:t>ection 4.15 of the EP&amp;A Act</w:t>
      </w:r>
      <w:r w:rsidR="00592544">
        <w:t>.</w:t>
      </w:r>
    </w:p>
    <w:p w14:paraId="2F363814" w14:textId="122C1B7B" w:rsidR="00356C78" w:rsidRDefault="00105518" w:rsidP="00356C78">
      <w:pPr>
        <w:pStyle w:val="Heading2"/>
      </w:pPr>
      <w:bookmarkStart w:id="25" w:name="_Toc48230313"/>
      <w:r>
        <w:t>Environmental Planning Instruments</w:t>
      </w:r>
      <w:bookmarkEnd w:id="25"/>
    </w:p>
    <w:p w14:paraId="4126FE1F" w14:textId="28A02BE2" w:rsidR="00094209" w:rsidRPr="00094209" w:rsidRDefault="00094209" w:rsidP="00094209">
      <w:pPr>
        <w:pStyle w:val="BodyText"/>
      </w:pPr>
      <w:r>
        <w:t>The following sections assess the proposal against the relevant provisions of applicable Environmental Planning Instruments (EPIs), Development Control Plans (DCPs), Planning Agreements and matters prescribed by the Regulation in accordance with Section 4.15(1)(a) of the EP&amp;A Act 1979.</w:t>
      </w:r>
    </w:p>
    <w:p w14:paraId="3A790FAA" w14:textId="5AE6DB14" w:rsidR="00356C78" w:rsidRDefault="00356C78" w:rsidP="009D1556">
      <w:pPr>
        <w:pStyle w:val="Heading3"/>
      </w:pPr>
      <w:bookmarkStart w:id="26" w:name="_Toc48230314"/>
      <w:r>
        <w:t>State Environmental Planning Policies</w:t>
      </w:r>
      <w:bookmarkEnd w:id="26"/>
    </w:p>
    <w:p w14:paraId="1DE5A7E7" w14:textId="56EA5950" w:rsidR="002E27C1" w:rsidRDefault="002E27C1" w:rsidP="009D1556">
      <w:pPr>
        <w:pStyle w:val="Heading4"/>
        <w:rPr>
          <w:rFonts w:eastAsiaTheme="minorHAnsi"/>
        </w:rPr>
      </w:pPr>
      <w:r>
        <w:rPr>
          <w:rFonts w:eastAsiaTheme="minorHAnsi"/>
        </w:rPr>
        <w:t>State Environmental Planning Policy (State and Regional Development) 2011</w:t>
      </w:r>
    </w:p>
    <w:p w14:paraId="656F6482" w14:textId="54F1354A" w:rsidR="002E27C1" w:rsidRDefault="00AC6024" w:rsidP="002E27C1">
      <w:pPr>
        <w:pStyle w:val="BodyText"/>
      </w:pPr>
      <w:r>
        <w:t xml:space="preserve">Part </w:t>
      </w:r>
      <w:r w:rsidR="001357D6">
        <w:t xml:space="preserve">4 </w:t>
      </w:r>
      <w:r w:rsidR="00D90483">
        <w:t xml:space="preserve">Regionally Significant Development </w:t>
      </w:r>
      <w:r w:rsidR="001357D6">
        <w:t>of the</w:t>
      </w:r>
      <w:r w:rsidR="00094209">
        <w:t xml:space="preserve"> </w:t>
      </w:r>
      <w:r w:rsidR="001357D6">
        <w:t>SEPP SRD provides that development specified in Schedule 7 is declared to be regional</w:t>
      </w:r>
      <w:r w:rsidR="00D90483">
        <w:t>ly significant</w:t>
      </w:r>
      <w:r w:rsidR="001357D6">
        <w:t xml:space="preserve"> development for the purposes of the </w:t>
      </w:r>
      <w:r w:rsidR="00094209">
        <w:t xml:space="preserve">EP&amp;A </w:t>
      </w:r>
      <w:r w:rsidR="001357D6">
        <w:t>Act</w:t>
      </w:r>
      <w:r w:rsidR="00D90483">
        <w:t xml:space="preserve"> 1979</w:t>
      </w:r>
      <w:r w:rsidR="001357D6">
        <w:t>.</w:t>
      </w:r>
    </w:p>
    <w:p w14:paraId="086F5CCE" w14:textId="43158868" w:rsidR="001357D6" w:rsidRDefault="001357D6" w:rsidP="002E27C1">
      <w:pPr>
        <w:pStyle w:val="BodyText"/>
      </w:pPr>
      <w:r>
        <w:t>Schedule 7(3) provides that the development with a capital investment value of more than $5m is regional development if:</w:t>
      </w:r>
    </w:p>
    <w:p w14:paraId="64768F07" w14:textId="77777777" w:rsidR="001357D6" w:rsidRPr="009D1556" w:rsidRDefault="001357D6" w:rsidP="009D1556">
      <w:pPr>
        <w:pStyle w:val="BodyText"/>
        <w:ind w:left="720"/>
        <w:rPr>
          <w:i/>
          <w:iCs/>
        </w:rPr>
      </w:pPr>
      <w:r w:rsidRPr="009D1556">
        <w:rPr>
          <w:i/>
          <w:iCs/>
        </w:rPr>
        <w:t xml:space="preserve">(b) the Council is the owner of any land on which the development is to be carried out or </w:t>
      </w:r>
    </w:p>
    <w:p w14:paraId="785BD214" w14:textId="2F515422" w:rsidR="001357D6" w:rsidRDefault="001357D6" w:rsidP="009D1556">
      <w:pPr>
        <w:pStyle w:val="BodyText"/>
        <w:ind w:left="720"/>
        <w:rPr>
          <w:i/>
          <w:iCs/>
        </w:rPr>
      </w:pPr>
      <w:r w:rsidRPr="009D1556">
        <w:rPr>
          <w:i/>
          <w:iCs/>
        </w:rPr>
        <w:t xml:space="preserve">(c) the development is to be carried out by the council.  </w:t>
      </w:r>
    </w:p>
    <w:p w14:paraId="09909649" w14:textId="03E6864A" w:rsidR="00D16E6C" w:rsidRPr="001357D6" w:rsidRDefault="001357D6" w:rsidP="002E27C1">
      <w:pPr>
        <w:pStyle w:val="BodyText"/>
      </w:pPr>
      <w:r w:rsidRPr="00AA6A7A">
        <w:t>As the</w:t>
      </w:r>
      <w:r w:rsidR="00801BA5" w:rsidRPr="00AA6A7A">
        <w:t xml:space="preserve"> proposed development has a </w:t>
      </w:r>
      <w:r w:rsidR="00A2078F">
        <w:t>CIV</w:t>
      </w:r>
      <w:r w:rsidR="00D90483" w:rsidRPr="00AA6A7A">
        <w:t xml:space="preserve"> </w:t>
      </w:r>
      <w:r w:rsidR="00801BA5" w:rsidRPr="00AA6A7A">
        <w:t>of approximately $</w:t>
      </w:r>
      <w:r w:rsidR="00D32B36" w:rsidRPr="00AA6A7A">
        <w:t>74m</w:t>
      </w:r>
      <w:r w:rsidR="00505C74">
        <w:t xml:space="preserve">, </w:t>
      </w:r>
      <w:r w:rsidR="00094209" w:rsidRPr="00AA6A7A">
        <w:t>C</w:t>
      </w:r>
      <w:r w:rsidRPr="00AA6A7A">
        <w:t xml:space="preserve">ouncil is the owner of the </w:t>
      </w:r>
      <w:r w:rsidR="00D16E6C" w:rsidRPr="00AA6A7A">
        <w:t xml:space="preserve">subject </w:t>
      </w:r>
      <w:r w:rsidRPr="00AA6A7A">
        <w:t xml:space="preserve">land and the development is to be carried out by Council, the development is </w:t>
      </w:r>
      <w:r w:rsidR="00D16E6C" w:rsidRPr="00AA6A7A">
        <w:t>regionally significant development</w:t>
      </w:r>
      <w:r w:rsidR="00801BA5" w:rsidRPr="00AA6A7A">
        <w:t>. It</w:t>
      </w:r>
      <w:r w:rsidR="00D16E6C" w:rsidRPr="00AA6A7A">
        <w:t xml:space="preserve"> therefore requires consent by </w:t>
      </w:r>
      <w:r w:rsidR="00AA6A7A" w:rsidRPr="00AA6A7A">
        <w:t>the SRPP</w:t>
      </w:r>
      <w:r w:rsidR="00D90483" w:rsidRPr="00AA6A7A">
        <w:t xml:space="preserve"> </w:t>
      </w:r>
      <w:r w:rsidR="00801BA5" w:rsidRPr="00AA6A7A">
        <w:t>under Section 2.12 of the EP&amp;A Act</w:t>
      </w:r>
      <w:r w:rsidR="00094209" w:rsidRPr="00AA6A7A">
        <w:t xml:space="preserve"> 1979</w:t>
      </w:r>
      <w:r w:rsidR="00801BA5" w:rsidRPr="00AA6A7A">
        <w:t>.</w:t>
      </w:r>
      <w:r w:rsidR="00801BA5">
        <w:t xml:space="preserve"> </w:t>
      </w:r>
    </w:p>
    <w:p w14:paraId="6663B236" w14:textId="414D2F3F" w:rsidR="00356C78" w:rsidRDefault="00356C78" w:rsidP="009D1556">
      <w:pPr>
        <w:pStyle w:val="Heading4"/>
        <w:rPr>
          <w:rFonts w:eastAsiaTheme="minorHAnsi"/>
        </w:rPr>
      </w:pPr>
      <w:r>
        <w:rPr>
          <w:rFonts w:eastAsiaTheme="minorHAnsi"/>
        </w:rPr>
        <w:t>State Environmental</w:t>
      </w:r>
      <w:r w:rsidR="00505C74">
        <w:rPr>
          <w:rFonts w:eastAsiaTheme="minorHAnsi"/>
        </w:rPr>
        <w:t xml:space="preserve"> Planning Policy No.55 (SEPP </w:t>
      </w:r>
      <w:r>
        <w:rPr>
          <w:rFonts w:eastAsiaTheme="minorHAnsi"/>
        </w:rPr>
        <w:t>55) Remediation of Land</w:t>
      </w:r>
    </w:p>
    <w:p w14:paraId="19B89CF5" w14:textId="026190DF" w:rsidR="00356C78" w:rsidRDefault="00356C78" w:rsidP="00356C78">
      <w:pPr>
        <w:pStyle w:val="BodyText"/>
        <w:rPr>
          <w:rFonts w:eastAsiaTheme="minorHAnsi"/>
        </w:rPr>
      </w:pPr>
      <w:r>
        <w:rPr>
          <w:rFonts w:eastAsiaTheme="minorHAnsi"/>
        </w:rPr>
        <w:t xml:space="preserve">According to clause 7 of </w:t>
      </w:r>
      <w:r w:rsidR="0072703E">
        <w:rPr>
          <w:rFonts w:eastAsiaTheme="minorHAnsi"/>
        </w:rPr>
        <w:t>State Environmental Planning Policy No. 55</w:t>
      </w:r>
      <w:r w:rsidR="00505C74">
        <w:rPr>
          <w:rFonts w:eastAsiaTheme="minorHAnsi"/>
        </w:rPr>
        <w:t xml:space="preserve"> Remediation of Land</w:t>
      </w:r>
      <w:r w:rsidR="0072703E">
        <w:rPr>
          <w:rFonts w:eastAsiaTheme="minorHAnsi"/>
        </w:rPr>
        <w:t xml:space="preserve"> (</w:t>
      </w:r>
      <w:r>
        <w:rPr>
          <w:rFonts w:eastAsiaTheme="minorHAnsi"/>
        </w:rPr>
        <w:t>SEPP 55</w:t>
      </w:r>
      <w:r w:rsidR="0072703E">
        <w:rPr>
          <w:rFonts w:eastAsiaTheme="minorHAnsi"/>
        </w:rPr>
        <w:t>)</w:t>
      </w:r>
      <w:r>
        <w:rPr>
          <w:rFonts w:eastAsiaTheme="minorHAnsi"/>
        </w:rPr>
        <w:t xml:space="preserve"> Council may not consent to the carrying out of any development on land unless it has considered whether the land is contaminated, and if the land is contaminated, it is satisfied that the land is suitable in its contaminated state (or will be suitable after remediation) for the purpose for which the development is proposed to be carried out.</w:t>
      </w:r>
    </w:p>
    <w:p w14:paraId="52691AF8" w14:textId="39FCC6B1" w:rsidR="00D33823" w:rsidRDefault="0057630A" w:rsidP="00356C78">
      <w:pPr>
        <w:pStyle w:val="BodyText"/>
        <w:rPr>
          <w:rFonts w:eastAsiaTheme="minorHAnsi"/>
        </w:rPr>
      </w:pPr>
      <w:r>
        <w:rPr>
          <w:rFonts w:eastAsiaTheme="minorHAnsi"/>
        </w:rPr>
        <w:t xml:space="preserve">A Preliminary (Phase 1) Site Investigation (PSI) </w:t>
      </w:r>
      <w:r w:rsidR="00D33823">
        <w:rPr>
          <w:rFonts w:eastAsiaTheme="minorHAnsi"/>
        </w:rPr>
        <w:t>and Soil Contamination Assessment (SCA) were</w:t>
      </w:r>
      <w:r>
        <w:rPr>
          <w:rFonts w:eastAsiaTheme="minorHAnsi"/>
        </w:rPr>
        <w:t xml:space="preserve"> undertaken as part of the application. </w:t>
      </w:r>
      <w:r w:rsidR="00D33823">
        <w:rPr>
          <w:rFonts w:eastAsiaTheme="minorHAnsi"/>
        </w:rPr>
        <w:t>Both reports found that there is low potential risk</w:t>
      </w:r>
      <w:r w:rsidR="00666F90">
        <w:rPr>
          <w:rFonts w:eastAsiaTheme="minorHAnsi"/>
        </w:rPr>
        <w:t xml:space="preserve"> to human health or the environment of the site,</w:t>
      </w:r>
      <w:r w:rsidR="00D33823">
        <w:rPr>
          <w:rFonts w:eastAsiaTheme="minorHAnsi"/>
        </w:rPr>
        <w:t xml:space="preserve"> f</w:t>
      </w:r>
      <w:r w:rsidR="00666F90">
        <w:rPr>
          <w:rFonts w:eastAsiaTheme="minorHAnsi"/>
        </w:rPr>
        <w:t>ro</w:t>
      </w:r>
      <w:r w:rsidR="00D33823">
        <w:rPr>
          <w:rFonts w:eastAsiaTheme="minorHAnsi"/>
        </w:rPr>
        <w:t>m soil or groundwater contamination.</w:t>
      </w:r>
    </w:p>
    <w:p w14:paraId="38FAE86B" w14:textId="6333A267" w:rsidR="00DE4EC6" w:rsidRDefault="00D33823" w:rsidP="00356C78">
      <w:pPr>
        <w:pStyle w:val="BodyText"/>
        <w:rPr>
          <w:rFonts w:eastAsiaTheme="minorHAnsi"/>
        </w:rPr>
      </w:pPr>
      <w:r>
        <w:rPr>
          <w:rFonts w:eastAsiaTheme="minorHAnsi"/>
        </w:rPr>
        <w:t>The po</w:t>
      </w:r>
      <w:r w:rsidR="00DE4EC6">
        <w:rPr>
          <w:rFonts w:eastAsiaTheme="minorHAnsi"/>
        </w:rPr>
        <w:t>tential site contamination was considered by Council as part of the internal referrals.  It was considered that t</w:t>
      </w:r>
      <w:r w:rsidR="00DE4EC6">
        <w:t xml:space="preserve">he </w:t>
      </w:r>
      <w:r w:rsidR="004057D2">
        <w:t>proposed use of the site for a public administration building is consistent with previous use of the site for commercial purposes, and the proposal</w:t>
      </w:r>
      <w:r w:rsidR="00DE4EC6">
        <w:t xml:space="preserve"> is satisfactory </w:t>
      </w:r>
      <w:r w:rsidR="004057D2">
        <w:t xml:space="preserve">in terms of remediation and contamination, </w:t>
      </w:r>
      <w:r w:rsidR="00DE4EC6">
        <w:t>subject to the recommended conditions of consent.</w:t>
      </w:r>
    </w:p>
    <w:p w14:paraId="36D90730" w14:textId="77777777" w:rsidR="00356C78" w:rsidRPr="004B6138" w:rsidRDefault="00356C78" w:rsidP="009D1556">
      <w:pPr>
        <w:pStyle w:val="Heading4"/>
      </w:pPr>
      <w:bookmarkStart w:id="27" w:name="_Hlk18583423"/>
      <w:r w:rsidRPr="004B6138">
        <w:t>State Environmental Planning Policy No.64 – Advertising and Signage</w:t>
      </w:r>
    </w:p>
    <w:p w14:paraId="4B798295" w14:textId="31398E09" w:rsidR="007D5A6D" w:rsidRDefault="00356C78" w:rsidP="00356C78">
      <w:pPr>
        <w:pStyle w:val="BodyText"/>
      </w:pPr>
      <w:r w:rsidRPr="004B6138">
        <w:t xml:space="preserve">Any proposed signage will need to demonstrate consistency with the assessment criteria included in Schedule 1 of </w:t>
      </w:r>
      <w:r w:rsidR="0072703E" w:rsidRPr="004B6138">
        <w:t xml:space="preserve">State Environmental Planning Policy No. 64 </w:t>
      </w:r>
      <w:r w:rsidR="00505C74">
        <w:t xml:space="preserve">– Advertising and Signage </w:t>
      </w:r>
      <w:r w:rsidR="0072703E" w:rsidRPr="004B6138">
        <w:t>(</w:t>
      </w:r>
      <w:r w:rsidRPr="004B6138">
        <w:t>SEPP 64</w:t>
      </w:r>
      <w:r w:rsidR="0072703E" w:rsidRPr="004B6138">
        <w:t>)</w:t>
      </w:r>
      <w:r w:rsidRPr="004B6138">
        <w:t>.</w:t>
      </w:r>
      <w:r w:rsidR="007D5A6D">
        <w:t xml:space="preserve"> The proposal includes signage </w:t>
      </w:r>
      <w:r w:rsidR="001633AF">
        <w:t>for the proposed public administration building (e.g. Council logos), sign</w:t>
      </w:r>
      <w:r w:rsidR="009C1919">
        <w:t>age</w:t>
      </w:r>
      <w:r w:rsidR="001633AF">
        <w:t xml:space="preserve"> for proposed commercial uses (e.g. tenant signage) and promotional and advertising signage related to the ‘The Q’ Performing Arts Centre. Signage will be located at the Crawford Street forecourt and the public plaza at the rear of the building. Proposed signage types are shown in </w:t>
      </w:r>
      <w:r w:rsidR="001633AF">
        <w:fldChar w:fldCharType="begin"/>
      </w:r>
      <w:r w:rsidR="001633AF">
        <w:instrText xml:space="preserve"> REF _Ref40782039 \h </w:instrText>
      </w:r>
      <w:r w:rsidR="001633AF">
        <w:fldChar w:fldCharType="separate"/>
      </w:r>
      <w:r w:rsidR="008F4696" w:rsidRPr="00782F75">
        <w:t xml:space="preserve">Figure </w:t>
      </w:r>
      <w:r w:rsidR="008F4696">
        <w:rPr>
          <w:noProof/>
        </w:rPr>
        <w:t>5</w:t>
      </w:r>
      <w:r w:rsidR="001633AF">
        <w:fldChar w:fldCharType="end"/>
      </w:r>
      <w:r w:rsidR="001633AF">
        <w:t>.</w:t>
      </w:r>
    </w:p>
    <w:p w14:paraId="1ADD220E" w14:textId="5A90DD6C" w:rsidR="001633AF" w:rsidRPr="00782F75" w:rsidRDefault="001633AF" w:rsidP="009A22AE">
      <w:pPr>
        <w:pStyle w:val="Caption"/>
      </w:pPr>
      <w:bookmarkStart w:id="28" w:name="_Ref40782039"/>
      <w:bookmarkStart w:id="29" w:name="_Toc48230338"/>
      <w:r w:rsidRPr="00782F75">
        <w:lastRenderedPageBreak/>
        <w:t xml:space="preserve">Figure </w:t>
      </w:r>
      <w:r>
        <w:rPr>
          <w:noProof/>
        </w:rPr>
        <w:fldChar w:fldCharType="begin"/>
      </w:r>
      <w:r>
        <w:rPr>
          <w:noProof/>
        </w:rPr>
        <w:instrText xml:space="preserve"> SEQ Figure \* ARABIC </w:instrText>
      </w:r>
      <w:r>
        <w:rPr>
          <w:noProof/>
        </w:rPr>
        <w:fldChar w:fldCharType="separate"/>
      </w:r>
      <w:r w:rsidR="008F4696">
        <w:rPr>
          <w:noProof/>
        </w:rPr>
        <w:t>5</w:t>
      </w:r>
      <w:r>
        <w:rPr>
          <w:noProof/>
        </w:rPr>
        <w:fldChar w:fldCharType="end"/>
      </w:r>
      <w:bookmarkEnd w:id="28"/>
      <w:r>
        <w:tab/>
        <w:t>Proposed signage</w:t>
      </w:r>
      <w:bookmarkEnd w:id="29"/>
    </w:p>
    <w:p w14:paraId="307039F8" w14:textId="252C90F9" w:rsidR="001633AF" w:rsidRPr="00800FD3" w:rsidRDefault="001633AF" w:rsidP="009A22AE">
      <w:pPr>
        <w:pStyle w:val="FigureStyle"/>
      </w:pPr>
      <w:r>
        <w:rPr>
          <w:noProof/>
        </w:rPr>
        <w:drawing>
          <wp:inline distT="0" distB="0" distL="0" distR="0" wp14:anchorId="2496F595" wp14:editId="4CF66FD1">
            <wp:extent cx="6400800" cy="21158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00800" cy="2115820"/>
                    </a:xfrm>
                    <a:prstGeom prst="rect">
                      <a:avLst/>
                    </a:prstGeom>
                    <a:noFill/>
                    <a:ln>
                      <a:noFill/>
                    </a:ln>
                  </pic:spPr>
                </pic:pic>
              </a:graphicData>
            </a:graphic>
          </wp:inline>
        </w:drawing>
      </w:r>
    </w:p>
    <w:p w14:paraId="257B6198" w14:textId="416A3597" w:rsidR="007D5A6D" w:rsidRPr="00505C74" w:rsidRDefault="00505C74" w:rsidP="00356C78">
      <w:pPr>
        <w:pStyle w:val="BodyText"/>
        <w:rPr>
          <w:sz w:val="16"/>
          <w:szCs w:val="16"/>
        </w:rPr>
      </w:pPr>
      <w:r w:rsidRPr="00505C74">
        <w:rPr>
          <w:sz w:val="16"/>
          <w:szCs w:val="16"/>
        </w:rPr>
        <w:t>Source: SMEC</w:t>
      </w:r>
      <w:r w:rsidR="001633AF" w:rsidRPr="00505C74">
        <w:rPr>
          <w:sz w:val="16"/>
          <w:szCs w:val="16"/>
        </w:rPr>
        <w:t xml:space="preserve"> 2019</w:t>
      </w:r>
    </w:p>
    <w:p w14:paraId="472FAE29" w14:textId="5DBDE4EB" w:rsidR="000A1F96" w:rsidRDefault="000A1F96" w:rsidP="000A1F96">
      <w:pPr>
        <w:pStyle w:val="TableCaption"/>
      </w:pPr>
      <w:bookmarkStart w:id="30" w:name="_Toc48230346"/>
      <w:r>
        <w:t>Table </w:t>
      </w:r>
      <w:r w:rsidR="0070791B">
        <w:rPr>
          <w:noProof/>
        </w:rPr>
        <w:fldChar w:fldCharType="begin"/>
      </w:r>
      <w:r w:rsidR="0070791B">
        <w:rPr>
          <w:noProof/>
        </w:rPr>
        <w:instrText xml:space="preserve"> SEQ Table \* ARABIC </w:instrText>
      </w:r>
      <w:r w:rsidR="0070791B">
        <w:rPr>
          <w:noProof/>
        </w:rPr>
        <w:fldChar w:fldCharType="separate"/>
      </w:r>
      <w:r w:rsidR="008F4696">
        <w:rPr>
          <w:noProof/>
        </w:rPr>
        <w:t>4</w:t>
      </w:r>
      <w:r w:rsidR="0070791B">
        <w:rPr>
          <w:noProof/>
        </w:rPr>
        <w:fldChar w:fldCharType="end"/>
      </w:r>
      <w:r>
        <w:tab/>
      </w:r>
      <w:r w:rsidR="00DE4EC6">
        <w:t xml:space="preserve">Consistency with SEPP </w:t>
      </w:r>
      <w:r w:rsidR="004D606B">
        <w:t>64</w:t>
      </w:r>
      <w:bookmarkEnd w:id="30"/>
    </w:p>
    <w:tbl>
      <w:tblPr>
        <w:tblStyle w:val="GreenLinedTable"/>
        <w:tblW w:w="5000" w:type="pct"/>
        <w:tblLayout w:type="fixed"/>
        <w:tblLook w:val="0620" w:firstRow="1" w:lastRow="0" w:firstColumn="0" w:lastColumn="0" w:noHBand="1" w:noVBand="1"/>
      </w:tblPr>
      <w:tblGrid>
        <w:gridCol w:w="3364"/>
        <w:gridCol w:w="3364"/>
        <w:gridCol w:w="3364"/>
      </w:tblGrid>
      <w:tr w:rsidR="000A1F96" w14:paraId="30900578" w14:textId="77777777" w:rsidTr="000A1F96">
        <w:trPr>
          <w:cnfStyle w:val="100000000000" w:firstRow="1" w:lastRow="0" w:firstColumn="0" w:lastColumn="0" w:oddVBand="0" w:evenVBand="0" w:oddHBand="0" w:evenHBand="0" w:firstRowFirstColumn="0" w:firstRowLastColumn="0" w:lastRowFirstColumn="0" w:lastRowLastColumn="0"/>
          <w:tblHeader/>
        </w:trPr>
        <w:tc>
          <w:tcPr>
            <w:tcW w:w="3364" w:type="dxa"/>
          </w:tcPr>
          <w:p w14:paraId="7FF451BD" w14:textId="72DB27E3" w:rsidR="000A1F96" w:rsidRDefault="000A1F96" w:rsidP="000A1F96">
            <w:pPr>
              <w:pStyle w:val="TableHeadingGrey"/>
            </w:pPr>
            <w:r>
              <w:t>Assessment Criteria</w:t>
            </w:r>
          </w:p>
        </w:tc>
        <w:tc>
          <w:tcPr>
            <w:tcW w:w="3364" w:type="dxa"/>
          </w:tcPr>
          <w:p w14:paraId="5AF0B9A4" w14:textId="4A9C8A8A" w:rsidR="000A1F96" w:rsidRDefault="000A1F96" w:rsidP="000A1F96">
            <w:pPr>
              <w:pStyle w:val="TableHeadingGrey"/>
            </w:pPr>
            <w:r>
              <w:t>Applicant Response</w:t>
            </w:r>
          </w:p>
        </w:tc>
        <w:tc>
          <w:tcPr>
            <w:tcW w:w="3364" w:type="dxa"/>
          </w:tcPr>
          <w:p w14:paraId="600EBDB0" w14:textId="2750F175" w:rsidR="000A1F96" w:rsidRDefault="000A1F96" w:rsidP="000A1F96">
            <w:pPr>
              <w:pStyle w:val="TableHeadingGrey"/>
            </w:pPr>
            <w:r>
              <w:t>Compliance/Response</w:t>
            </w:r>
          </w:p>
        </w:tc>
      </w:tr>
      <w:tr w:rsidR="000A1F96" w14:paraId="0B500803" w14:textId="77777777" w:rsidTr="00381405">
        <w:tc>
          <w:tcPr>
            <w:tcW w:w="10092" w:type="dxa"/>
            <w:gridSpan w:val="3"/>
          </w:tcPr>
          <w:p w14:paraId="67322F5E" w14:textId="755F41F1" w:rsidR="000A1F96" w:rsidRPr="004B1568" w:rsidRDefault="004B1568" w:rsidP="00A319F0">
            <w:pPr>
              <w:pStyle w:val="TableHeadingGrey"/>
            </w:pPr>
            <w:r w:rsidRPr="004B1568">
              <w:t xml:space="preserve">1 </w:t>
            </w:r>
            <w:r w:rsidR="000A1F96" w:rsidRPr="004B1568">
              <w:t>Character of the Area</w:t>
            </w:r>
          </w:p>
        </w:tc>
      </w:tr>
      <w:tr w:rsidR="00D33823" w14:paraId="6012E7F8" w14:textId="77777777" w:rsidTr="00D33823">
        <w:trPr>
          <w:trHeight w:val="1080"/>
        </w:trPr>
        <w:tc>
          <w:tcPr>
            <w:tcW w:w="3364" w:type="dxa"/>
          </w:tcPr>
          <w:p w14:paraId="18500CEB" w14:textId="6925DEB3" w:rsidR="00D33823" w:rsidRPr="00A319F0" w:rsidRDefault="00D33823" w:rsidP="00D33823">
            <w:pPr>
              <w:pStyle w:val="TableHeadingGrey"/>
              <w:rPr>
                <w:b w:val="0"/>
                <w:bCs/>
              </w:rPr>
            </w:pPr>
            <w:r w:rsidRPr="00A319F0">
              <w:rPr>
                <w:b w:val="0"/>
                <w:bCs/>
              </w:rPr>
              <w:t xml:space="preserve">Is the proposal compatible with the existing or desired future character of the area or locality in which it is proposed to be located? </w:t>
            </w:r>
          </w:p>
        </w:tc>
        <w:tc>
          <w:tcPr>
            <w:tcW w:w="3364" w:type="dxa"/>
            <w:vMerge w:val="restart"/>
          </w:tcPr>
          <w:p w14:paraId="520C6531" w14:textId="60E7B97A" w:rsidR="00D33823" w:rsidRPr="00D33823" w:rsidRDefault="00D33823" w:rsidP="00D33823">
            <w:pPr>
              <w:pStyle w:val="TableText"/>
            </w:pPr>
            <w:r>
              <w:t xml:space="preserve">The proposed signage is compatible with the existing and likely future character of the area which is primarily commercial. </w:t>
            </w:r>
          </w:p>
        </w:tc>
        <w:tc>
          <w:tcPr>
            <w:tcW w:w="3364" w:type="dxa"/>
          </w:tcPr>
          <w:p w14:paraId="2475A5AB" w14:textId="77777777" w:rsidR="00D33823" w:rsidRPr="004D606B" w:rsidRDefault="0055114A" w:rsidP="00A319F0">
            <w:pPr>
              <w:pStyle w:val="TableHeadingGrey"/>
            </w:pPr>
            <w:r w:rsidRPr="004D606B">
              <w:t>Complies.</w:t>
            </w:r>
          </w:p>
          <w:p w14:paraId="4092F021" w14:textId="6167A5C6" w:rsidR="0055114A" w:rsidRPr="00A319F0" w:rsidRDefault="0055114A" w:rsidP="00A319F0">
            <w:pPr>
              <w:pStyle w:val="TableHeadingGrey"/>
              <w:rPr>
                <w:b w:val="0"/>
                <w:bCs/>
              </w:rPr>
            </w:pPr>
            <w:r>
              <w:rPr>
                <w:b w:val="0"/>
                <w:bCs/>
              </w:rPr>
              <w:t>Proposed signage is compatible with the surrounding desired character of locality (based on Queanbeyan CBD Master Plan) and appropriate to the proposed use of the site.</w:t>
            </w:r>
          </w:p>
        </w:tc>
      </w:tr>
      <w:tr w:rsidR="00D33823" w14:paraId="61CA5CD2" w14:textId="77777777" w:rsidTr="004523B1">
        <w:trPr>
          <w:trHeight w:val="1080"/>
        </w:trPr>
        <w:tc>
          <w:tcPr>
            <w:tcW w:w="3364" w:type="dxa"/>
          </w:tcPr>
          <w:p w14:paraId="5DA6F501" w14:textId="09A063EB" w:rsidR="00D33823" w:rsidRPr="00A319F0" w:rsidRDefault="00D33823" w:rsidP="00A319F0">
            <w:pPr>
              <w:pStyle w:val="TableHeadingGrey"/>
              <w:rPr>
                <w:b w:val="0"/>
                <w:bCs/>
              </w:rPr>
            </w:pPr>
            <w:r w:rsidRPr="00A319F0">
              <w:rPr>
                <w:b w:val="0"/>
                <w:bCs/>
              </w:rPr>
              <w:t>Is the proposal consistent with a particular theme for outdoor advertising in the area or locality?</w:t>
            </w:r>
          </w:p>
        </w:tc>
        <w:tc>
          <w:tcPr>
            <w:tcW w:w="3364" w:type="dxa"/>
            <w:vMerge/>
          </w:tcPr>
          <w:p w14:paraId="6912144F" w14:textId="77777777" w:rsidR="00D33823" w:rsidRDefault="00D33823" w:rsidP="00D33823">
            <w:pPr>
              <w:pStyle w:val="TableText"/>
            </w:pPr>
          </w:p>
        </w:tc>
        <w:tc>
          <w:tcPr>
            <w:tcW w:w="3364" w:type="dxa"/>
          </w:tcPr>
          <w:p w14:paraId="7DE10DA3" w14:textId="77777777" w:rsidR="00D33823" w:rsidRPr="004D606B" w:rsidRDefault="0055114A" w:rsidP="00A319F0">
            <w:pPr>
              <w:pStyle w:val="TableHeadingGrey"/>
            </w:pPr>
            <w:r w:rsidRPr="004D606B">
              <w:t>Complies.</w:t>
            </w:r>
          </w:p>
          <w:p w14:paraId="75A1F895" w14:textId="74F38C31" w:rsidR="0055114A" w:rsidRPr="00A319F0" w:rsidRDefault="0055114A" w:rsidP="00A319F0">
            <w:pPr>
              <w:pStyle w:val="TableHeadingGrey"/>
              <w:rPr>
                <w:b w:val="0"/>
                <w:bCs/>
              </w:rPr>
            </w:pPr>
            <w:r>
              <w:rPr>
                <w:b w:val="0"/>
                <w:bCs/>
              </w:rPr>
              <w:t xml:space="preserve">Proposed signage is consistent with existing commercial signage in the immediate vicinity and greater CBD area. </w:t>
            </w:r>
          </w:p>
        </w:tc>
      </w:tr>
      <w:tr w:rsidR="00A319F0" w14:paraId="5F002454" w14:textId="77777777" w:rsidTr="00381405">
        <w:tc>
          <w:tcPr>
            <w:tcW w:w="10092" w:type="dxa"/>
            <w:gridSpan w:val="3"/>
          </w:tcPr>
          <w:p w14:paraId="41FB412D" w14:textId="33553674" w:rsidR="00A319F0" w:rsidRPr="00A319F0" w:rsidRDefault="00D33823" w:rsidP="00A319F0">
            <w:pPr>
              <w:pStyle w:val="TableHeadingGrey"/>
            </w:pPr>
            <w:r>
              <w:t>2</w:t>
            </w:r>
            <w:r w:rsidR="00A319F0" w:rsidRPr="00A319F0">
              <w:t xml:space="preserve"> Special Areas</w:t>
            </w:r>
          </w:p>
        </w:tc>
      </w:tr>
      <w:tr w:rsidR="000A1F96" w14:paraId="1D0A6229" w14:textId="77777777" w:rsidTr="000A1F96">
        <w:tc>
          <w:tcPr>
            <w:tcW w:w="3364" w:type="dxa"/>
          </w:tcPr>
          <w:p w14:paraId="7AF882E5" w14:textId="4BD63B1E" w:rsidR="000A1F96" w:rsidRPr="00A319F0" w:rsidRDefault="000A1F96" w:rsidP="00A319F0">
            <w:pPr>
              <w:pStyle w:val="TableHeadingGrey"/>
              <w:rPr>
                <w:b w:val="0"/>
                <w:bCs/>
              </w:rPr>
            </w:pPr>
            <w:r w:rsidRPr="00A319F0">
              <w:rPr>
                <w:b w:val="0"/>
                <w:bCs/>
              </w:rPr>
              <w:t>Does the proposal detract from the amenity or visual quality of any environmentally sensitive areas, heritage areas, natural or other conservation areas, open space areas, waterways, rural landscapes or residential areas?</w:t>
            </w:r>
          </w:p>
        </w:tc>
        <w:tc>
          <w:tcPr>
            <w:tcW w:w="3364" w:type="dxa"/>
          </w:tcPr>
          <w:p w14:paraId="6728411A" w14:textId="77777777" w:rsidR="0055114A" w:rsidRDefault="0055114A" w:rsidP="0055114A">
            <w:pPr>
              <w:pStyle w:val="TableText"/>
            </w:pPr>
            <w:r>
              <w:t xml:space="preserve">The signage is integrated into the design of the building and will not detract from the heritage character of the surrounding streetscapes. </w:t>
            </w:r>
          </w:p>
          <w:p w14:paraId="2AC27405" w14:textId="77777777" w:rsidR="000A1F96" w:rsidRPr="00A319F0" w:rsidRDefault="000A1F96" w:rsidP="00A319F0">
            <w:pPr>
              <w:pStyle w:val="TableHeadingGrey"/>
              <w:rPr>
                <w:b w:val="0"/>
                <w:bCs/>
              </w:rPr>
            </w:pPr>
          </w:p>
        </w:tc>
        <w:tc>
          <w:tcPr>
            <w:tcW w:w="3364" w:type="dxa"/>
          </w:tcPr>
          <w:p w14:paraId="00E99BCB" w14:textId="4E78D788" w:rsidR="000A1F96" w:rsidRPr="004D606B" w:rsidRDefault="0055114A" w:rsidP="00A319F0">
            <w:pPr>
              <w:pStyle w:val="TableHeadingGrey"/>
            </w:pPr>
            <w:r w:rsidRPr="004D606B">
              <w:t xml:space="preserve">Complies. </w:t>
            </w:r>
          </w:p>
        </w:tc>
      </w:tr>
      <w:tr w:rsidR="00A319F0" w14:paraId="292220FE" w14:textId="77777777" w:rsidTr="00381405">
        <w:tc>
          <w:tcPr>
            <w:tcW w:w="10092" w:type="dxa"/>
            <w:gridSpan w:val="3"/>
          </w:tcPr>
          <w:p w14:paraId="738AA67E" w14:textId="31700850" w:rsidR="00A319F0" w:rsidRPr="00A319F0" w:rsidRDefault="00D33823" w:rsidP="00A319F0">
            <w:pPr>
              <w:pStyle w:val="TableHeadingGrey"/>
            </w:pPr>
            <w:r>
              <w:t>3</w:t>
            </w:r>
            <w:r w:rsidR="00A319F0" w:rsidRPr="00A319F0">
              <w:t xml:space="preserve"> Views and Vistas</w:t>
            </w:r>
          </w:p>
        </w:tc>
      </w:tr>
      <w:tr w:rsidR="00537378" w14:paraId="2461EA73" w14:textId="77777777" w:rsidTr="000A1F96">
        <w:tc>
          <w:tcPr>
            <w:tcW w:w="3364" w:type="dxa"/>
          </w:tcPr>
          <w:p w14:paraId="386F1E34" w14:textId="710022B9" w:rsidR="00537378" w:rsidRPr="00A319F0" w:rsidRDefault="00537378" w:rsidP="00537378">
            <w:pPr>
              <w:pStyle w:val="TableHeadingGrey"/>
              <w:rPr>
                <w:b w:val="0"/>
                <w:bCs/>
              </w:rPr>
            </w:pPr>
            <w:r w:rsidRPr="00A319F0">
              <w:rPr>
                <w:b w:val="0"/>
                <w:bCs/>
              </w:rPr>
              <w:t xml:space="preserve">Does the proposal obscure or compromise important views? </w:t>
            </w:r>
          </w:p>
        </w:tc>
        <w:tc>
          <w:tcPr>
            <w:tcW w:w="3364" w:type="dxa"/>
            <w:vMerge w:val="restart"/>
          </w:tcPr>
          <w:p w14:paraId="781B4CDD" w14:textId="77777777" w:rsidR="00537378" w:rsidRDefault="00537378" w:rsidP="00537378">
            <w:pPr>
              <w:pStyle w:val="TableText"/>
            </w:pPr>
            <w:r>
              <w:t xml:space="preserve">The signage does not dominate the skyline or compromise views. </w:t>
            </w:r>
          </w:p>
          <w:p w14:paraId="19E68989" w14:textId="77777777" w:rsidR="00537378" w:rsidRPr="00A319F0" w:rsidRDefault="00537378" w:rsidP="00537378">
            <w:pPr>
              <w:pStyle w:val="TableText"/>
              <w:rPr>
                <w:b/>
                <w:bCs/>
              </w:rPr>
            </w:pPr>
          </w:p>
        </w:tc>
        <w:tc>
          <w:tcPr>
            <w:tcW w:w="3364" w:type="dxa"/>
          </w:tcPr>
          <w:p w14:paraId="4B21774B" w14:textId="77777777" w:rsidR="00537378" w:rsidRDefault="00537378" w:rsidP="00537378">
            <w:pPr>
              <w:pStyle w:val="TableText"/>
              <w:rPr>
                <w:b/>
                <w:bCs/>
              </w:rPr>
            </w:pPr>
            <w:r w:rsidRPr="008D3D3F">
              <w:rPr>
                <w:b/>
                <w:bCs/>
              </w:rPr>
              <w:t xml:space="preserve">Complies. </w:t>
            </w:r>
          </w:p>
          <w:p w14:paraId="3C36FBAD" w14:textId="1560C906" w:rsidR="00537378" w:rsidRPr="00537378" w:rsidRDefault="00537378" w:rsidP="00537378">
            <w:pPr>
              <w:pStyle w:val="TableText"/>
            </w:pPr>
            <w:r>
              <w:t xml:space="preserve">Proposed signs are located on building facades and are not considered to comprise or obscure important views.  </w:t>
            </w:r>
            <w:r w:rsidRPr="00537378">
              <w:t xml:space="preserve"> </w:t>
            </w:r>
          </w:p>
        </w:tc>
      </w:tr>
      <w:tr w:rsidR="00537378" w14:paraId="7C1C0926" w14:textId="77777777" w:rsidTr="000A1F96">
        <w:tc>
          <w:tcPr>
            <w:tcW w:w="3364" w:type="dxa"/>
          </w:tcPr>
          <w:p w14:paraId="42704AD7" w14:textId="3500B8E6" w:rsidR="00537378" w:rsidRPr="00A319F0" w:rsidRDefault="00537378" w:rsidP="00537378">
            <w:pPr>
              <w:pStyle w:val="TableHeadingGrey"/>
              <w:rPr>
                <w:b w:val="0"/>
                <w:bCs/>
              </w:rPr>
            </w:pPr>
            <w:r w:rsidRPr="00A319F0">
              <w:rPr>
                <w:b w:val="0"/>
                <w:bCs/>
              </w:rPr>
              <w:t xml:space="preserve">Does the proposal dominate the skyline and reduce the quality of vistas? </w:t>
            </w:r>
          </w:p>
        </w:tc>
        <w:tc>
          <w:tcPr>
            <w:tcW w:w="3364" w:type="dxa"/>
            <w:vMerge/>
          </w:tcPr>
          <w:p w14:paraId="68F3FF68" w14:textId="77777777" w:rsidR="00537378" w:rsidRPr="00A319F0" w:rsidRDefault="00537378" w:rsidP="00537378">
            <w:pPr>
              <w:pStyle w:val="TableHeadingGrey"/>
              <w:rPr>
                <w:b w:val="0"/>
                <w:bCs/>
              </w:rPr>
            </w:pPr>
          </w:p>
        </w:tc>
        <w:tc>
          <w:tcPr>
            <w:tcW w:w="3364" w:type="dxa"/>
          </w:tcPr>
          <w:p w14:paraId="739A28CC" w14:textId="610FE2BF" w:rsidR="00537378" w:rsidRDefault="00537378" w:rsidP="00537378">
            <w:pPr>
              <w:pStyle w:val="TableText"/>
            </w:pPr>
            <w:r w:rsidRPr="008D3D3F">
              <w:rPr>
                <w:b/>
                <w:bCs/>
              </w:rPr>
              <w:t xml:space="preserve">Complies. </w:t>
            </w:r>
          </w:p>
        </w:tc>
      </w:tr>
      <w:tr w:rsidR="00537378" w14:paraId="75E5F59E" w14:textId="77777777" w:rsidTr="000A1F96">
        <w:tc>
          <w:tcPr>
            <w:tcW w:w="3364" w:type="dxa"/>
          </w:tcPr>
          <w:p w14:paraId="1B23A0BF" w14:textId="7A088C71" w:rsidR="00537378" w:rsidRPr="00A319F0" w:rsidRDefault="00537378" w:rsidP="00537378">
            <w:pPr>
              <w:pStyle w:val="TableHeadingGrey"/>
              <w:rPr>
                <w:b w:val="0"/>
                <w:bCs/>
              </w:rPr>
            </w:pPr>
            <w:r w:rsidRPr="00A319F0">
              <w:rPr>
                <w:b w:val="0"/>
                <w:bCs/>
              </w:rPr>
              <w:lastRenderedPageBreak/>
              <w:t xml:space="preserve">Does the proposal respect the viewing rights of other advertisers? </w:t>
            </w:r>
          </w:p>
        </w:tc>
        <w:tc>
          <w:tcPr>
            <w:tcW w:w="3364" w:type="dxa"/>
            <w:vMerge/>
          </w:tcPr>
          <w:p w14:paraId="40DA85E5" w14:textId="77777777" w:rsidR="00537378" w:rsidRPr="00A319F0" w:rsidRDefault="00537378" w:rsidP="00537378">
            <w:pPr>
              <w:pStyle w:val="TableHeadingGrey"/>
              <w:rPr>
                <w:b w:val="0"/>
                <w:bCs/>
              </w:rPr>
            </w:pPr>
          </w:p>
        </w:tc>
        <w:tc>
          <w:tcPr>
            <w:tcW w:w="3364" w:type="dxa"/>
          </w:tcPr>
          <w:p w14:paraId="1A4F791C" w14:textId="397AB159" w:rsidR="00537378" w:rsidRDefault="00537378" w:rsidP="00537378">
            <w:pPr>
              <w:pStyle w:val="TableText"/>
            </w:pPr>
            <w:r w:rsidRPr="008D3D3F">
              <w:rPr>
                <w:b/>
                <w:bCs/>
              </w:rPr>
              <w:t xml:space="preserve">Complies. </w:t>
            </w:r>
          </w:p>
        </w:tc>
      </w:tr>
      <w:tr w:rsidR="00A319F0" w14:paraId="2C238739" w14:textId="77777777" w:rsidTr="00381405">
        <w:tc>
          <w:tcPr>
            <w:tcW w:w="10092" w:type="dxa"/>
            <w:gridSpan w:val="3"/>
          </w:tcPr>
          <w:p w14:paraId="63B83058" w14:textId="03293556" w:rsidR="00A319F0" w:rsidRDefault="00D33823" w:rsidP="000A1F96">
            <w:pPr>
              <w:pStyle w:val="TableText"/>
            </w:pPr>
            <w:r>
              <w:rPr>
                <w:b/>
                <w:bCs/>
              </w:rPr>
              <w:t>4</w:t>
            </w:r>
            <w:r w:rsidR="00A319F0" w:rsidRPr="00A319F0">
              <w:rPr>
                <w:b/>
                <w:bCs/>
              </w:rPr>
              <w:t xml:space="preserve"> Streetscape, setting or landscape</w:t>
            </w:r>
          </w:p>
        </w:tc>
      </w:tr>
      <w:tr w:rsidR="00537378" w14:paraId="4C9666BC" w14:textId="77777777" w:rsidTr="000A1F96">
        <w:tc>
          <w:tcPr>
            <w:tcW w:w="3364" w:type="dxa"/>
          </w:tcPr>
          <w:p w14:paraId="3A6E112E" w14:textId="3D04BE62" w:rsidR="00537378" w:rsidRPr="00A319F0" w:rsidRDefault="00537378" w:rsidP="00537378">
            <w:pPr>
              <w:pStyle w:val="TableHeadingGrey"/>
              <w:rPr>
                <w:b w:val="0"/>
                <w:bCs/>
              </w:rPr>
            </w:pPr>
            <w:r w:rsidRPr="00A319F0">
              <w:rPr>
                <w:b w:val="0"/>
                <w:bCs/>
              </w:rPr>
              <w:t xml:space="preserve">Is the scale, proportion and form of the proposal appropriate for the streetscape, setting or landscape? </w:t>
            </w:r>
          </w:p>
        </w:tc>
        <w:tc>
          <w:tcPr>
            <w:tcW w:w="3364" w:type="dxa"/>
            <w:vMerge w:val="restart"/>
          </w:tcPr>
          <w:p w14:paraId="15558E6A" w14:textId="015ABBB8" w:rsidR="00537378" w:rsidRDefault="00537378" w:rsidP="00537378">
            <w:pPr>
              <w:pStyle w:val="TableText"/>
            </w:pPr>
            <w:r>
              <w:t>The scale of signage is in scale with the building and clearly identifies each tenant. By integrating signage and key corporate colours into the materials and finishes (e.g. face</w:t>
            </w:r>
            <w:r w:rsidR="009C1919">
              <w:t xml:space="preserve"> </w:t>
            </w:r>
            <w:r>
              <w:t xml:space="preserve">brick building base), signage clutter is reduced and the intended tenant/services are clearly communicated. </w:t>
            </w:r>
          </w:p>
          <w:p w14:paraId="2B95E3E9" w14:textId="77777777" w:rsidR="00537378" w:rsidRPr="00A319F0" w:rsidRDefault="00537378" w:rsidP="00537378">
            <w:pPr>
              <w:pStyle w:val="TableHeadingGrey"/>
              <w:rPr>
                <w:b w:val="0"/>
                <w:bCs/>
              </w:rPr>
            </w:pPr>
          </w:p>
        </w:tc>
        <w:tc>
          <w:tcPr>
            <w:tcW w:w="3364" w:type="dxa"/>
          </w:tcPr>
          <w:p w14:paraId="12FADE7E" w14:textId="77777777" w:rsidR="00537378" w:rsidRDefault="00537378" w:rsidP="00537378">
            <w:pPr>
              <w:pStyle w:val="TableText"/>
              <w:rPr>
                <w:b/>
                <w:bCs/>
              </w:rPr>
            </w:pPr>
            <w:r w:rsidRPr="003A3B74">
              <w:rPr>
                <w:b/>
                <w:bCs/>
              </w:rPr>
              <w:t xml:space="preserve">Complies. </w:t>
            </w:r>
          </w:p>
          <w:p w14:paraId="30551F16" w14:textId="43A7B6DC" w:rsidR="00537378" w:rsidRDefault="00537378" w:rsidP="00537378">
            <w:pPr>
              <w:pStyle w:val="TableText"/>
            </w:pPr>
            <w:r w:rsidRPr="00537378">
              <w:t xml:space="preserve">Sizes of proposed signage </w:t>
            </w:r>
            <w:r>
              <w:t>are</w:t>
            </w:r>
            <w:r w:rsidRPr="00537378">
              <w:t xml:space="preserve"> </w:t>
            </w:r>
            <w:r>
              <w:t xml:space="preserve">considered proportionate to the building and the intent of information displayed. </w:t>
            </w:r>
            <w:r w:rsidRPr="00537378">
              <w:t xml:space="preserve"> </w:t>
            </w:r>
          </w:p>
        </w:tc>
      </w:tr>
      <w:tr w:rsidR="00537378" w14:paraId="5E6F57C5" w14:textId="77777777" w:rsidTr="000A1F96">
        <w:tc>
          <w:tcPr>
            <w:tcW w:w="3364" w:type="dxa"/>
          </w:tcPr>
          <w:p w14:paraId="6ED60942" w14:textId="3D57CA8F" w:rsidR="00537378" w:rsidRPr="00A319F0" w:rsidRDefault="00537378" w:rsidP="00537378">
            <w:pPr>
              <w:pStyle w:val="TableHeadingGrey"/>
              <w:rPr>
                <w:b w:val="0"/>
                <w:bCs/>
              </w:rPr>
            </w:pPr>
            <w:r w:rsidRPr="00A319F0">
              <w:rPr>
                <w:b w:val="0"/>
                <w:bCs/>
              </w:rPr>
              <w:t xml:space="preserve">Does the proposal contribute to the visual interest of the streetscape, setting or landscape? </w:t>
            </w:r>
          </w:p>
        </w:tc>
        <w:tc>
          <w:tcPr>
            <w:tcW w:w="3364" w:type="dxa"/>
            <w:vMerge/>
          </w:tcPr>
          <w:p w14:paraId="242E1CD1" w14:textId="77777777" w:rsidR="00537378" w:rsidRPr="00A319F0" w:rsidRDefault="00537378" w:rsidP="00537378">
            <w:pPr>
              <w:pStyle w:val="TableHeadingGrey"/>
              <w:rPr>
                <w:b w:val="0"/>
                <w:bCs/>
              </w:rPr>
            </w:pPr>
          </w:p>
        </w:tc>
        <w:tc>
          <w:tcPr>
            <w:tcW w:w="3364" w:type="dxa"/>
          </w:tcPr>
          <w:p w14:paraId="181450E0" w14:textId="42807108" w:rsidR="00537378" w:rsidRDefault="00537378" w:rsidP="00537378">
            <w:pPr>
              <w:pStyle w:val="TableText"/>
            </w:pPr>
            <w:r w:rsidRPr="003A3B74">
              <w:rPr>
                <w:b/>
                <w:bCs/>
              </w:rPr>
              <w:t xml:space="preserve">Complies. </w:t>
            </w:r>
          </w:p>
        </w:tc>
      </w:tr>
      <w:tr w:rsidR="00537378" w14:paraId="3AA7A129" w14:textId="77777777" w:rsidTr="000A1F96">
        <w:tc>
          <w:tcPr>
            <w:tcW w:w="3364" w:type="dxa"/>
          </w:tcPr>
          <w:p w14:paraId="7F1D1A10" w14:textId="6C02A870" w:rsidR="00537378" w:rsidRPr="00A319F0" w:rsidRDefault="00537378" w:rsidP="00537378">
            <w:pPr>
              <w:pStyle w:val="TableHeadingGrey"/>
              <w:rPr>
                <w:b w:val="0"/>
                <w:bCs/>
              </w:rPr>
            </w:pPr>
            <w:r w:rsidRPr="00A319F0">
              <w:rPr>
                <w:b w:val="0"/>
                <w:bCs/>
              </w:rPr>
              <w:t xml:space="preserve">Does the proposal reduce clutter by rationalising and simplifying existing advertising? </w:t>
            </w:r>
          </w:p>
        </w:tc>
        <w:tc>
          <w:tcPr>
            <w:tcW w:w="3364" w:type="dxa"/>
            <w:vMerge/>
          </w:tcPr>
          <w:p w14:paraId="1A7DCC2E" w14:textId="77777777" w:rsidR="00537378" w:rsidRPr="00A319F0" w:rsidRDefault="00537378" w:rsidP="00537378">
            <w:pPr>
              <w:pStyle w:val="TableHeadingGrey"/>
              <w:rPr>
                <w:b w:val="0"/>
                <w:bCs/>
              </w:rPr>
            </w:pPr>
          </w:p>
        </w:tc>
        <w:tc>
          <w:tcPr>
            <w:tcW w:w="3364" w:type="dxa"/>
          </w:tcPr>
          <w:p w14:paraId="670EB7A2" w14:textId="547D28E1" w:rsidR="00537378" w:rsidRDefault="00537378" w:rsidP="00537378">
            <w:pPr>
              <w:pStyle w:val="TableText"/>
            </w:pPr>
            <w:r w:rsidRPr="003A3B74">
              <w:rPr>
                <w:b/>
                <w:bCs/>
              </w:rPr>
              <w:t xml:space="preserve">Complies. </w:t>
            </w:r>
          </w:p>
        </w:tc>
      </w:tr>
      <w:tr w:rsidR="00537378" w14:paraId="28B939DE" w14:textId="77777777" w:rsidTr="000A1F96">
        <w:tc>
          <w:tcPr>
            <w:tcW w:w="3364" w:type="dxa"/>
          </w:tcPr>
          <w:p w14:paraId="4BDA6184" w14:textId="77C20E1E" w:rsidR="00537378" w:rsidRPr="00A319F0" w:rsidRDefault="00537378" w:rsidP="00537378">
            <w:pPr>
              <w:pStyle w:val="TableHeadingGrey"/>
              <w:rPr>
                <w:b w:val="0"/>
                <w:bCs/>
              </w:rPr>
            </w:pPr>
            <w:r w:rsidRPr="00A319F0">
              <w:rPr>
                <w:b w:val="0"/>
                <w:bCs/>
              </w:rPr>
              <w:t xml:space="preserve">Does the proposal protrude above buildings, structures or tree canopies in the area or locality? </w:t>
            </w:r>
          </w:p>
        </w:tc>
        <w:tc>
          <w:tcPr>
            <w:tcW w:w="3364" w:type="dxa"/>
            <w:vMerge/>
          </w:tcPr>
          <w:p w14:paraId="13DBD787" w14:textId="77777777" w:rsidR="00537378" w:rsidRPr="00A319F0" w:rsidRDefault="00537378" w:rsidP="00537378">
            <w:pPr>
              <w:pStyle w:val="TableHeadingGrey"/>
              <w:rPr>
                <w:b w:val="0"/>
                <w:bCs/>
              </w:rPr>
            </w:pPr>
          </w:p>
        </w:tc>
        <w:tc>
          <w:tcPr>
            <w:tcW w:w="3364" w:type="dxa"/>
          </w:tcPr>
          <w:p w14:paraId="73E80FF6" w14:textId="60962BEF" w:rsidR="00537378" w:rsidRDefault="00537378" w:rsidP="00537378">
            <w:pPr>
              <w:pStyle w:val="TableText"/>
            </w:pPr>
            <w:r w:rsidRPr="003A3B74">
              <w:rPr>
                <w:b/>
                <w:bCs/>
              </w:rPr>
              <w:t xml:space="preserve">Complies. </w:t>
            </w:r>
          </w:p>
        </w:tc>
      </w:tr>
      <w:tr w:rsidR="00A319F0" w14:paraId="4DA6637E" w14:textId="77777777" w:rsidTr="00381405">
        <w:tc>
          <w:tcPr>
            <w:tcW w:w="10092" w:type="dxa"/>
            <w:gridSpan w:val="3"/>
          </w:tcPr>
          <w:p w14:paraId="28A499A0" w14:textId="51068E7B" w:rsidR="00A319F0" w:rsidRDefault="00D33823" w:rsidP="000A1F96">
            <w:pPr>
              <w:pStyle w:val="TableText"/>
            </w:pPr>
            <w:r>
              <w:rPr>
                <w:b/>
                <w:bCs/>
              </w:rPr>
              <w:t>5</w:t>
            </w:r>
            <w:r w:rsidR="00A319F0">
              <w:rPr>
                <w:b/>
                <w:bCs/>
              </w:rPr>
              <w:t xml:space="preserve"> Site and building</w:t>
            </w:r>
          </w:p>
        </w:tc>
      </w:tr>
      <w:tr w:rsidR="00537378" w14:paraId="2DF959D4" w14:textId="77777777" w:rsidTr="000A1F96">
        <w:tc>
          <w:tcPr>
            <w:tcW w:w="3364" w:type="dxa"/>
          </w:tcPr>
          <w:p w14:paraId="57EE0E6A" w14:textId="2E844FAF" w:rsidR="00537378" w:rsidRPr="00A319F0" w:rsidRDefault="00537378" w:rsidP="00537378">
            <w:pPr>
              <w:pStyle w:val="TableHeadingGrey"/>
              <w:rPr>
                <w:b w:val="0"/>
                <w:bCs/>
              </w:rPr>
            </w:pPr>
            <w:r w:rsidRPr="00A319F0">
              <w:rPr>
                <w:b w:val="0"/>
                <w:bCs/>
              </w:rPr>
              <w:t xml:space="preserve">Is the proposal compatible with the scale, proportion and other characteristics of the site or building, or both, on which the proposed signage is to be located? </w:t>
            </w:r>
          </w:p>
        </w:tc>
        <w:tc>
          <w:tcPr>
            <w:tcW w:w="3364" w:type="dxa"/>
            <w:vMerge w:val="restart"/>
          </w:tcPr>
          <w:p w14:paraId="4423571D" w14:textId="77777777" w:rsidR="00537378" w:rsidRDefault="00537378" w:rsidP="00537378">
            <w:pPr>
              <w:pStyle w:val="TableText"/>
            </w:pPr>
            <w:r>
              <w:t xml:space="preserve">The proposed signage is compatible with the scale, proportion and character of the proposed building. The signage does not dominate the character of the building however works to clearly define the uses of the site. </w:t>
            </w:r>
          </w:p>
          <w:p w14:paraId="62ABE9CD" w14:textId="0069EEE7" w:rsidR="00537378" w:rsidRPr="00A319F0" w:rsidRDefault="00537378" w:rsidP="00537378">
            <w:pPr>
              <w:pStyle w:val="TableText"/>
              <w:rPr>
                <w:b/>
                <w:bCs/>
              </w:rPr>
            </w:pPr>
            <w:r w:rsidRPr="00B55F05">
              <w:t xml:space="preserve">The signage is not particularly innovative however it incorporates the key defining colours of the key tenant and reduces the need for large areas of signage. </w:t>
            </w:r>
          </w:p>
        </w:tc>
        <w:tc>
          <w:tcPr>
            <w:tcW w:w="3364" w:type="dxa"/>
          </w:tcPr>
          <w:p w14:paraId="551C309C" w14:textId="77777777" w:rsidR="00537378" w:rsidRDefault="00537378" w:rsidP="00537378">
            <w:pPr>
              <w:pStyle w:val="TableText"/>
              <w:rPr>
                <w:b/>
                <w:bCs/>
              </w:rPr>
            </w:pPr>
            <w:r w:rsidRPr="001B139D">
              <w:rPr>
                <w:b/>
                <w:bCs/>
              </w:rPr>
              <w:t xml:space="preserve">Complies. </w:t>
            </w:r>
          </w:p>
          <w:p w14:paraId="78354086" w14:textId="3581BA8C" w:rsidR="003003C2" w:rsidRDefault="003003C2" w:rsidP="00537378">
            <w:pPr>
              <w:pStyle w:val="TableText"/>
            </w:pPr>
            <w:r w:rsidRPr="00537378">
              <w:t xml:space="preserve">Sizes of proposed signage </w:t>
            </w:r>
            <w:r>
              <w:t>are</w:t>
            </w:r>
            <w:r w:rsidRPr="00537378">
              <w:t xml:space="preserve"> </w:t>
            </w:r>
            <w:r>
              <w:t xml:space="preserve">considered proportionate to the building and the intent of information displayed. </w:t>
            </w:r>
            <w:r w:rsidRPr="00537378">
              <w:t xml:space="preserve"> </w:t>
            </w:r>
          </w:p>
        </w:tc>
      </w:tr>
      <w:tr w:rsidR="00537378" w14:paraId="08B816E6" w14:textId="77777777" w:rsidTr="000A1F96">
        <w:tc>
          <w:tcPr>
            <w:tcW w:w="3364" w:type="dxa"/>
          </w:tcPr>
          <w:p w14:paraId="700D5FC2" w14:textId="24F1BCD3" w:rsidR="00537378" w:rsidRPr="00A319F0" w:rsidRDefault="00537378" w:rsidP="00537378">
            <w:pPr>
              <w:pStyle w:val="TableHeadingGrey"/>
              <w:rPr>
                <w:b w:val="0"/>
                <w:bCs/>
              </w:rPr>
            </w:pPr>
            <w:r w:rsidRPr="00A319F0">
              <w:rPr>
                <w:b w:val="0"/>
                <w:bCs/>
              </w:rPr>
              <w:t xml:space="preserve">Does the proposal respect important features of the site or building, or both? </w:t>
            </w:r>
          </w:p>
        </w:tc>
        <w:tc>
          <w:tcPr>
            <w:tcW w:w="3364" w:type="dxa"/>
            <w:vMerge/>
          </w:tcPr>
          <w:p w14:paraId="4C1F996D" w14:textId="77777777" w:rsidR="00537378" w:rsidRPr="00A319F0" w:rsidRDefault="00537378" w:rsidP="00537378">
            <w:pPr>
              <w:pStyle w:val="TableHeadingGrey"/>
              <w:rPr>
                <w:b w:val="0"/>
                <w:bCs/>
              </w:rPr>
            </w:pPr>
          </w:p>
        </w:tc>
        <w:tc>
          <w:tcPr>
            <w:tcW w:w="3364" w:type="dxa"/>
          </w:tcPr>
          <w:p w14:paraId="734DBF7D" w14:textId="2EEBDD91" w:rsidR="00537378" w:rsidRDefault="00537378" w:rsidP="00537378">
            <w:pPr>
              <w:pStyle w:val="TableText"/>
            </w:pPr>
            <w:r w:rsidRPr="001B139D">
              <w:rPr>
                <w:b/>
                <w:bCs/>
              </w:rPr>
              <w:t xml:space="preserve">Complies. </w:t>
            </w:r>
          </w:p>
        </w:tc>
      </w:tr>
      <w:tr w:rsidR="00537378" w14:paraId="328996E5" w14:textId="77777777" w:rsidTr="000A1F96">
        <w:tc>
          <w:tcPr>
            <w:tcW w:w="3364" w:type="dxa"/>
          </w:tcPr>
          <w:p w14:paraId="531F08E6" w14:textId="68E5B2BB" w:rsidR="00537378" w:rsidRPr="00A319F0" w:rsidRDefault="00537378" w:rsidP="00537378">
            <w:pPr>
              <w:pStyle w:val="TableHeadingGrey"/>
              <w:rPr>
                <w:b w:val="0"/>
                <w:bCs/>
              </w:rPr>
            </w:pPr>
            <w:r w:rsidRPr="00A319F0">
              <w:rPr>
                <w:b w:val="0"/>
                <w:bCs/>
              </w:rPr>
              <w:t xml:space="preserve">Does the proposal show innovation and imagination in its relationship to the site or building, or both? </w:t>
            </w:r>
          </w:p>
        </w:tc>
        <w:tc>
          <w:tcPr>
            <w:tcW w:w="3364" w:type="dxa"/>
            <w:vMerge/>
          </w:tcPr>
          <w:p w14:paraId="68A53BA4" w14:textId="77777777" w:rsidR="00537378" w:rsidRPr="00A319F0" w:rsidRDefault="00537378" w:rsidP="00537378">
            <w:pPr>
              <w:pStyle w:val="TableHeadingGrey"/>
              <w:rPr>
                <w:b w:val="0"/>
                <w:bCs/>
              </w:rPr>
            </w:pPr>
          </w:p>
        </w:tc>
        <w:tc>
          <w:tcPr>
            <w:tcW w:w="3364" w:type="dxa"/>
          </w:tcPr>
          <w:p w14:paraId="25EDE57C" w14:textId="299FC863" w:rsidR="00537378" w:rsidRDefault="00537378" w:rsidP="00537378">
            <w:pPr>
              <w:pStyle w:val="TableText"/>
            </w:pPr>
            <w:r w:rsidRPr="001B139D">
              <w:rPr>
                <w:b/>
                <w:bCs/>
              </w:rPr>
              <w:t xml:space="preserve">Complies. </w:t>
            </w:r>
          </w:p>
        </w:tc>
      </w:tr>
      <w:tr w:rsidR="00A319F0" w14:paraId="14B84942" w14:textId="77777777" w:rsidTr="00381405">
        <w:tc>
          <w:tcPr>
            <w:tcW w:w="10092" w:type="dxa"/>
            <w:gridSpan w:val="3"/>
          </w:tcPr>
          <w:p w14:paraId="306102E1" w14:textId="78CD2AA9" w:rsidR="00A319F0" w:rsidRPr="00A319F0" w:rsidRDefault="00D33823" w:rsidP="00A319F0">
            <w:pPr>
              <w:pStyle w:val="TableHeadingGrey"/>
            </w:pPr>
            <w:r>
              <w:t>6</w:t>
            </w:r>
            <w:r w:rsidR="00A319F0" w:rsidRPr="00A319F0">
              <w:t xml:space="preserve"> Associated devices and logos with advertisements and advertising structures</w:t>
            </w:r>
          </w:p>
        </w:tc>
      </w:tr>
      <w:tr w:rsidR="00A319F0" w14:paraId="60BCD90E" w14:textId="77777777" w:rsidTr="000A1F96">
        <w:tc>
          <w:tcPr>
            <w:tcW w:w="3364" w:type="dxa"/>
          </w:tcPr>
          <w:p w14:paraId="003E39D5" w14:textId="4F06A618" w:rsidR="00A319F0" w:rsidRPr="00A319F0" w:rsidRDefault="00A319F0" w:rsidP="00A319F0">
            <w:pPr>
              <w:pStyle w:val="TableHeadingGrey"/>
              <w:rPr>
                <w:b w:val="0"/>
                <w:bCs/>
              </w:rPr>
            </w:pPr>
            <w:r w:rsidRPr="00A319F0">
              <w:rPr>
                <w:b w:val="0"/>
                <w:bCs/>
              </w:rPr>
              <w:t xml:space="preserve">Have any safety devices, platforms, lighting devices or logos been designed as an integral part of the signage or structure on which it is to be displayed? </w:t>
            </w:r>
          </w:p>
        </w:tc>
        <w:tc>
          <w:tcPr>
            <w:tcW w:w="3364" w:type="dxa"/>
          </w:tcPr>
          <w:p w14:paraId="48B04ECE" w14:textId="77777777" w:rsidR="0055114A" w:rsidRDefault="0055114A" w:rsidP="0055114A">
            <w:pPr>
              <w:pStyle w:val="TableText"/>
            </w:pPr>
            <w:r>
              <w:t xml:space="preserve">There are no safety devices required. </w:t>
            </w:r>
          </w:p>
          <w:p w14:paraId="6E3D56B3" w14:textId="77777777" w:rsidR="00A319F0" w:rsidRPr="00A319F0" w:rsidRDefault="00A319F0" w:rsidP="00A319F0">
            <w:pPr>
              <w:pStyle w:val="TableHeadingGrey"/>
              <w:rPr>
                <w:b w:val="0"/>
                <w:bCs/>
              </w:rPr>
            </w:pPr>
          </w:p>
        </w:tc>
        <w:tc>
          <w:tcPr>
            <w:tcW w:w="3364" w:type="dxa"/>
          </w:tcPr>
          <w:p w14:paraId="42340551" w14:textId="71D74718" w:rsidR="00A319F0" w:rsidRDefault="00537378" w:rsidP="000A1F96">
            <w:pPr>
              <w:pStyle w:val="TableText"/>
            </w:pPr>
            <w:r>
              <w:rPr>
                <w:b/>
                <w:bCs/>
              </w:rPr>
              <w:t>Complies.</w:t>
            </w:r>
          </w:p>
        </w:tc>
      </w:tr>
      <w:tr w:rsidR="00A319F0" w14:paraId="2DC66675" w14:textId="77777777" w:rsidTr="00381405">
        <w:tc>
          <w:tcPr>
            <w:tcW w:w="10092" w:type="dxa"/>
            <w:gridSpan w:val="3"/>
          </w:tcPr>
          <w:p w14:paraId="0CA4EA8A" w14:textId="73E03667" w:rsidR="00A319F0" w:rsidRPr="00A319F0" w:rsidRDefault="00D33823" w:rsidP="00A319F0">
            <w:pPr>
              <w:pStyle w:val="TableHeadingGrey"/>
            </w:pPr>
            <w:r>
              <w:t>7</w:t>
            </w:r>
            <w:r w:rsidR="00A319F0" w:rsidRPr="00A319F0">
              <w:t xml:space="preserve"> Illumination</w:t>
            </w:r>
          </w:p>
        </w:tc>
      </w:tr>
      <w:tr w:rsidR="00537378" w14:paraId="48DFC8C3" w14:textId="77777777" w:rsidTr="000A1F96">
        <w:tc>
          <w:tcPr>
            <w:tcW w:w="3364" w:type="dxa"/>
          </w:tcPr>
          <w:p w14:paraId="2EBF5D3B" w14:textId="4D1ED1B7" w:rsidR="00537378" w:rsidRPr="00A319F0" w:rsidRDefault="00537378" w:rsidP="00537378">
            <w:pPr>
              <w:pStyle w:val="TableHeadingGrey"/>
              <w:rPr>
                <w:b w:val="0"/>
                <w:bCs/>
              </w:rPr>
            </w:pPr>
            <w:r w:rsidRPr="00A319F0">
              <w:rPr>
                <w:b w:val="0"/>
                <w:bCs/>
              </w:rPr>
              <w:t xml:space="preserve">Would illumination result in unacceptable glare? </w:t>
            </w:r>
          </w:p>
        </w:tc>
        <w:tc>
          <w:tcPr>
            <w:tcW w:w="3364" w:type="dxa"/>
            <w:vMerge w:val="restart"/>
          </w:tcPr>
          <w:p w14:paraId="7B55A02F" w14:textId="318FF466" w:rsidR="00537378" w:rsidRDefault="00537378" w:rsidP="00537378">
            <w:pPr>
              <w:pStyle w:val="TableText"/>
            </w:pPr>
            <w:r>
              <w:t>The proposed signage is to be internally illuminated to assist with wayfinding. The illuminat</w:t>
            </w:r>
            <w:r w:rsidR="009C1919">
              <w:t>ed</w:t>
            </w:r>
            <w:r>
              <w:t xml:space="preserve"> signage is proposed on facades facing the civic public plaza, with the proposed illumination </w:t>
            </w:r>
            <w:r w:rsidR="009C1919">
              <w:t xml:space="preserve">to </w:t>
            </w:r>
            <w:r>
              <w:t xml:space="preserve">be adjustable to ensure there is no nuisance to nearby residential properties. </w:t>
            </w:r>
          </w:p>
          <w:p w14:paraId="7E686A9C" w14:textId="77777777" w:rsidR="00537378" w:rsidRPr="00A319F0" w:rsidRDefault="00537378" w:rsidP="00537378">
            <w:pPr>
              <w:pStyle w:val="TableHeadingGrey"/>
              <w:rPr>
                <w:b w:val="0"/>
                <w:bCs/>
              </w:rPr>
            </w:pPr>
          </w:p>
        </w:tc>
        <w:tc>
          <w:tcPr>
            <w:tcW w:w="3364" w:type="dxa"/>
          </w:tcPr>
          <w:p w14:paraId="06CEDC22" w14:textId="1F6DACD3" w:rsidR="00537378" w:rsidRDefault="00537378" w:rsidP="00537378">
            <w:pPr>
              <w:pStyle w:val="TableText"/>
            </w:pPr>
            <w:r w:rsidRPr="004C0E64">
              <w:rPr>
                <w:b/>
                <w:bCs/>
              </w:rPr>
              <w:lastRenderedPageBreak/>
              <w:t xml:space="preserve">Complies. </w:t>
            </w:r>
          </w:p>
        </w:tc>
      </w:tr>
      <w:tr w:rsidR="00537378" w14:paraId="7FDB566A" w14:textId="77777777" w:rsidTr="000A1F96">
        <w:tc>
          <w:tcPr>
            <w:tcW w:w="3364" w:type="dxa"/>
          </w:tcPr>
          <w:p w14:paraId="406DD02B" w14:textId="32604202" w:rsidR="00537378" w:rsidRPr="00A319F0" w:rsidRDefault="00537378" w:rsidP="00537378">
            <w:pPr>
              <w:pStyle w:val="TableHeadingGrey"/>
              <w:rPr>
                <w:b w:val="0"/>
                <w:bCs/>
              </w:rPr>
            </w:pPr>
            <w:r w:rsidRPr="00A319F0">
              <w:rPr>
                <w:b w:val="0"/>
                <w:bCs/>
              </w:rPr>
              <w:t xml:space="preserve">Would illumination affect safety for pedestrians, vehicles or aircraft? </w:t>
            </w:r>
          </w:p>
        </w:tc>
        <w:tc>
          <w:tcPr>
            <w:tcW w:w="3364" w:type="dxa"/>
            <w:vMerge/>
          </w:tcPr>
          <w:p w14:paraId="4FD7E520" w14:textId="77777777" w:rsidR="00537378" w:rsidRPr="00A319F0" w:rsidRDefault="00537378" w:rsidP="00537378">
            <w:pPr>
              <w:pStyle w:val="TableHeadingGrey"/>
              <w:rPr>
                <w:b w:val="0"/>
                <w:bCs/>
              </w:rPr>
            </w:pPr>
          </w:p>
        </w:tc>
        <w:tc>
          <w:tcPr>
            <w:tcW w:w="3364" w:type="dxa"/>
          </w:tcPr>
          <w:p w14:paraId="1E9E2FDB" w14:textId="77777777" w:rsidR="00537378" w:rsidRDefault="00537378" w:rsidP="00537378">
            <w:pPr>
              <w:pStyle w:val="TableText"/>
              <w:rPr>
                <w:b/>
                <w:bCs/>
              </w:rPr>
            </w:pPr>
            <w:r w:rsidRPr="004C0E64">
              <w:rPr>
                <w:b/>
                <w:bCs/>
              </w:rPr>
              <w:t xml:space="preserve">Complies. </w:t>
            </w:r>
          </w:p>
          <w:p w14:paraId="115F9F05" w14:textId="1DE54763" w:rsidR="00537378" w:rsidRPr="00537378" w:rsidRDefault="00537378" w:rsidP="00537378">
            <w:pPr>
              <w:pStyle w:val="TableText"/>
            </w:pPr>
            <w:r w:rsidRPr="00537378">
              <w:t>Signage is design</w:t>
            </w:r>
            <w:r w:rsidR="009C1919">
              <w:t>ed</w:t>
            </w:r>
            <w:r w:rsidRPr="00537378">
              <w:t xml:space="preserve"> to assist pedestrians in wayfinding. </w:t>
            </w:r>
          </w:p>
          <w:p w14:paraId="287DDEDC" w14:textId="2C840858" w:rsidR="00537378" w:rsidRDefault="00537378" w:rsidP="00537378">
            <w:pPr>
              <w:pStyle w:val="TableText"/>
            </w:pPr>
            <w:r w:rsidRPr="00537378">
              <w:t>Signage is setback from roadways and is not expected to impact vehicles or aircraft.</w:t>
            </w:r>
            <w:r>
              <w:rPr>
                <w:b/>
                <w:bCs/>
              </w:rPr>
              <w:t xml:space="preserve"> </w:t>
            </w:r>
          </w:p>
        </w:tc>
      </w:tr>
      <w:tr w:rsidR="00537378" w14:paraId="132B8BB5" w14:textId="77777777" w:rsidTr="000A1F96">
        <w:tc>
          <w:tcPr>
            <w:tcW w:w="3364" w:type="dxa"/>
          </w:tcPr>
          <w:p w14:paraId="42F915E1" w14:textId="31D1091D" w:rsidR="00537378" w:rsidRPr="00A319F0" w:rsidRDefault="00537378" w:rsidP="00537378">
            <w:pPr>
              <w:pStyle w:val="TableHeadingGrey"/>
              <w:rPr>
                <w:b w:val="0"/>
                <w:bCs/>
              </w:rPr>
            </w:pPr>
            <w:r w:rsidRPr="00A319F0">
              <w:rPr>
                <w:b w:val="0"/>
                <w:bCs/>
              </w:rPr>
              <w:lastRenderedPageBreak/>
              <w:t xml:space="preserve">Would illumination detract from the amenity of any residence or other form of accommodation? </w:t>
            </w:r>
          </w:p>
        </w:tc>
        <w:tc>
          <w:tcPr>
            <w:tcW w:w="3364" w:type="dxa"/>
            <w:vMerge/>
          </w:tcPr>
          <w:p w14:paraId="68C93A5E" w14:textId="77777777" w:rsidR="00537378" w:rsidRPr="00A319F0" w:rsidRDefault="00537378" w:rsidP="00537378">
            <w:pPr>
              <w:pStyle w:val="TableHeadingGrey"/>
              <w:rPr>
                <w:b w:val="0"/>
                <w:bCs/>
              </w:rPr>
            </w:pPr>
          </w:p>
        </w:tc>
        <w:tc>
          <w:tcPr>
            <w:tcW w:w="3364" w:type="dxa"/>
          </w:tcPr>
          <w:p w14:paraId="0AD11BFE" w14:textId="0B85EA97" w:rsidR="00537378" w:rsidRDefault="00537378" w:rsidP="00537378">
            <w:pPr>
              <w:pStyle w:val="TableText"/>
            </w:pPr>
            <w:r w:rsidRPr="004C0E64">
              <w:rPr>
                <w:b/>
                <w:bCs/>
              </w:rPr>
              <w:t xml:space="preserve">Complies. </w:t>
            </w:r>
          </w:p>
        </w:tc>
      </w:tr>
      <w:tr w:rsidR="00537378" w14:paraId="31D12251" w14:textId="77777777" w:rsidTr="000A1F96">
        <w:tc>
          <w:tcPr>
            <w:tcW w:w="3364" w:type="dxa"/>
          </w:tcPr>
          <w:p w14:paraId="4741C321" w14:textId="3B5774D4" w:rsidR="00537378" w:rsidRPr="00A319F0" w:rsidRDefault="00537378" w:rsidP="00537378">
            <w:pPr>
              <w:pStyle w:val="TableHeadingGrey"/>
              <w:rPr>
                <w:b w:val="0"/>
                <w:bCs/>
              </w:rPr>
            </w:pPr>
            <w:r w:rsidRPr="00A319F0">
              <w:rPr>
                <w:b w:val="0"/>
                <w:bCs/>
              </w:rPr>
              <w:t xml:space="preserve">Can the intensity of the illumination be adjusted, if necessary? </w:t>
            </w:r>
          </w:p>
        </w:tc>
        <w:tc>
          <w:tcPr>
            <w:tcW w:w="3364" w:type="dxa"/>
            <w:vMerge/>
          </w:tcPr>
          <w:p w14:paraId="40E7ABBE" w14:textId="77777777" w:rsidR="00537378" w:rsidRPr="00A319F0" w:rsidRDefault="00537378" w:rsidP="00537378">
            <w:pPr>
              <w:pStyle w:val="TableHeadingGrey"/>
              <w:rPr>
                <w:b w:val="0"/>
                <w:bCs/>
              </w:rPr>
            </w:pPr>
          </w:p>
        </w:tc>
        <w:tc>
          <w:tcPr>
            <w:tcW w:w="3364" w:type="dxa"/>
          </w:tcPr>
          <w:p w14:paraId="46F6ABDB" w14:textId="77777777" w:rsidR="00537378" w:rsidRDefault="00537378" w:rsidP="00537378">
            <w:pPr>
              <w:pStyle w:val="TableText"/>
              <w:rPr>
                <w:b/>
                <w:bCs/>
              </w:rPr>
            </w:pPr>
            <w:r w:rsidRPr="004C0E64">
              <w:rPr>
                <w:b/>
                <w:bCs/>
              </w:rPr>
              <w:t xml:space="preserve">Complies. </w:t>
            </w:r>
          </w:p>
          <w:p w14:paraId="12B4814D" w14:textId="3D361506" w:rsidR="00537378" w:rsidRDefault="00537378" w:rsidP="00537378">
            <w:pPr>
              <w:pStyle w:val="TableText"/>
            </w:pPr>
          </w:p>
        </w:tc>
      </w:tr>
      <w:tr w:rsidR="00537378" w14:paraId="46F4D76F" w14:textId="77777777" w:rsidTr="000A1F96">
        <w:tc>
          <w:tcPr>
            <w:tcW w:w="3364" w:type="dxa"/>
          </w:tcPr>
          <w:p w14:paraId="3000EDD0" w14:textId="2529B3F2" w:rsidR="00537378" w:rsidRPr="00A319F0" w:rsidRDefault="00537378" w:rsidP="00537378">
            <w:pPr>
              <w:pStyle w:val="TableHeadingGrey"/>
              <w:rPr>
                <w:b w:val="0"/>
                <w:bCs/>
              </w:rPr>
            </w:pPr>
            <w:r w:rsidRPr="00A319F0">
              <w:rPr>
                <w:b w:val="0"/>
                <w:bCs/>
              </w:rPr>
              <w:t xml:space="preserve">Is the illumination subject to a curfew? </w:t>
            </w:r>
          </w:p>
        </w:tc>
        <w:tc>
          <w:tcPr>
            <w:tcW w:w="3364" w:type="dxa"/>
            <w:vMerge/>
          </w:tcPr>
          <w:p w14:paraId="2EAFFE69" w14:textId="77777777" w:rsidR="00537378" w:rsidRPr="00A319F0" w:rsidRDefault="00537378" w:rsidP="00537378">
            <w:pPr>
              <w:pStyle w:val="TableHeadingGrey"/>
              <w:rPr>
                <w:b w:val="0"/>
                <w:bCs/>
              </w:rPr>
            </w:pPr>
          </w:p>
        </w:tc>
        <w:tc>
          <w:tcPr>
            <w:tcW w:w="3364" w:type="dxa"/>
          </w:tcPr>
          <w:p w14:paraId="37CA1B50" w14:textId="77777777" w:rsidR="00537378" w:rsidRDefault="00537378" w:rsidP="00537378">
            <w:pPr>
              <w:pStyle w:val="TableText"/>
              <w:rPr>
                <w:b/>
                <w:bCs/>
              </w:rPr>
            </w:pPr>
            <w:r>
              <w:rPr>
                <w:b/>
                <w:bCs/>
              </w:rPr>
              <w:t>Not applicable</w:t>
            </w:r>
          </w:p>
          <w:p w14:paraId="30BFBE50" w14:textId="3F9DFBC8" w:rsidR="00537378" w:rsidRPr="00537378" w:rsidRDefault="00537378" w:rsidP="00537378">
            <w:pPr>
              <w:pStyle w:val="TableText"/>
            </w:pPr>
            <w:r w:rsidRPr="00537378">
              <w:t xml:space="preserve">There is no curfew.  </w:t>
            </w:r>
          </w:p>
        </w:tc>
      </w:tr>
      <w:tr w:rsidR="00A319F0" w14:paraId="668D044E" w14:textId="77777777" w:rsidTr="00381405">
        <w:tc>
          <w:tcPr>
            <w:tcW w:w="10092" w:type="dxa"/>
            <w:gridSpan w:val="3"/>
          </w:tcPr>
          <w:p w14:paraId="1E16AA39" w14:textId="791E5476" w:rsidR="00A319F0" w:rsidRPr="00A319F0" w:rsidRDefault="0055114A" w:rsidP="00A319F0">
            <w:pPr>
              <w:pStyle w:val="TableHeadingGrey"/>
            </w:pPr>
            <w:r>
              <w:t>8</w:t>
            </w:r>
            <w:r w:rsidR="00A319F0" w:rsidRPr="00A319F0">
              <w:t xml:space="preserve"> Safety</w:t>
            </w:r>
          </w:p>
        </w:tc>
      </w:tr>
      <w:tr w:rsidR="00537378" w14:paraId="5D722173" w14:textId="77777777" w:rsidTr="000A1F96">
        <w:tc>
          <w:tcPr>
            <w:tcW w:w="3364" w:type="dxa"/>
          </w:tcPr>
          <w:p w14:paraId="1A47EFB4" w14:textId="4BE916F7" w:rsidR="00537378" w:rsidRPr="00A319F0" w:rsidRDefault="00537378" w:rsidP="00537378">
            <w:pPr>
              <w:pStyle w:val="TableHeadingGrey"/>
              <w:rPr>
                <w:b w:val="0"/>
                <w:bCs/>
              </w:rPr>
            </w:pPr>
            <w:r w:rsidRPr="00A319F0">
              <w:rPr>
                <w:b w:val="0"/>
                <w:bCs/>
              </w:rPr>
              <w:t xml:space="preserve">Would the proposal reduce the safety for any public road? </w:t>
            </w:r>
          </w:p>
        </w:tc>
        <w:tc>
          <w:tcPr>
            <w:tcW w:w="3364" w:type="dxa"/>
            <w:vMerge w:val="restart"/>
          </w:tcPr>
          <w:p w14:paraId="0AB5702D" w14:textId="77777777" w:rsidR="00537378" w:rsidRDefault="00537378" w:rsidP="00537378">
            <w:pPr>
              <w:pStyle w:val="TableText"/>
            </w:pPr>
            <w:r>
              <w:t xml:space="preserve">The signage will not adversely impact pedestrian and vehicular safety. The signage will assist with wayfinding to these public administration uses. </w:t>
            </w:r>
          </w:p>
          <w:p w14:paraId="54C38B54" w14:textId="77777777" w:rsidR="00537378" w:rsidRPr="00A319F0" w:rsidRDefault="00537378" w:rsidP="00537378">
            <w:pPr>
              <w:pStyle w:val="TableHeadingGrey"/>
              <w:rPr>
                <w:b w:val="0"/>
                <w:bCs/>
              </w:rPr>
            </w:pPr>
          </w:p>
        </w:tc>
        <w:tc>
          <w:tcPr>
            <w:tcW w:w="3364" w:type="dxa"/>
          </w:tcPr>
          <w:p w14:paraId="6CC50588" w14:textId="5FE58216" w:rsidR="00537378" w:rsidRDefault="00537378" w:rsidP="00537378">
            <w:pPr>
              <w:pStyle w:val="TableText"/>
            </w:pPr>
            <w:r w:rsidRPr="009A6ECD">
              <w:rPr>
                <w:b/>
                <w:bCs/>
              </w:rPr>
              <w:t xml:space="preserve">Complies. </w:t>
            </w:r>
          </w:p>
        </w:tc>
      </w:tr>
      <w:tr w:rsidR="00537378" w14:paraId="6A51F7DB" w14:textId="77777777" w:rsidTr="000A1F96">
        <w:tc>
          <w:tcPr>
            <w:tcW w:w="3364" w:type="dxa"/>
          </w:tcPr>
          <w:p w14:paraId="372A1CB4" w14:textId="4822E995" w:rsidR="00537378" w:rsidRPr="00A319F0" w:rsidRDefault="00537378" w:rsidP="00537378">
            <w:pPr>
              <w:pStyle w:val="TableHeadingGrey"/>
              <w:rPr>
                <w:b w:val="0"/>
                <w:bCs/>
              </w:rPr>
            </w:pPr>
            <w:r w:rsidRPr="00A319F0">
              <w:rPr>
                <w:b w:val="0"/>
                <w:bCs/>
              </w:rPr>
              <w:t xml:space="preserve">Would the proposal reduce the safety for pedestrians or bicyclists? </w:t>
            </w:r>
          </w:p>
        </w:tc>
        <w:tc>
          <w:tcPr>
            <w:tcW w:w="3364" w:type="dxa"/>
            <w:vMerge/>
          </w:tcPr>
          <w:p w14:paraId="659C085E" w14:textId="77777777" w:rsidR="00537378" w:rsidRPr="00A319F0" w:rsidRDefault="00537378" w:rsidP="00537378">
            <w:pPr>
              <w:pStyle w:val="TableHeadingGrey"/>
              <w:rPr>
                <w:b w:val="0"/>
                <w:bCs/>
              </w:rPr>
            </w:pPr>
          </w:p>
        </w:tc>
        <w:tc>
          <w:tcPr>
            <w:tcW w:w="3364" w:type="dxa"/>
          </w:tcPr>
          <w:p w14:paraId="2DF9FC54" w14:textId="02BC7DE2" w:rsidR="00537378" w:rsidRDefault="00537378" w:rsidP="00537378">
            <w:pPr>
              <w:pStyle w:val="TableText"/>
            </w:pPr>
            <w:r w:rsidRPr="009A6ECD">
              <w:rPr>
                <w:b/>
                <w:bCs/>
              </w:rPr>
              <w:t xml:space="preserve">Complies. </w:t>
            </w:r>
          </w:p>
        </w:tc>
      </w:tr>
      <w:tr w:rsidR="00537378" w14:paraId="7BAAD370" w14:textId="77777777" w:rsidTr="000A1F96">
        <w:tc>
          <w:tcPr>
            <w:tcW w:w="3364" w:type="dxa"/>
          </w:tcPr>
          <w:p w14:paraId="20A1CD20" w14:textId="7E67C986" w:rsidR="00537378" w:rsidRPr="00A319F0" w:rsidRDefault="00537378" w:rsidP="00537378">
            <w:pPr>
              <w:pStyle w:val="TableHeadingGrey"/>
              <w:rPr>
                <w:b w:val="0"/>
                <w:bCs/>
              </w:rPr>
            </w:pPr>
            <w:r w:rsidRPr="00A319F0">
              <w:rPr>
                <w:b w:val="0"/>
                <w:bCs/>
              </w:rPr>
              <w:t xml:space="preserve">Would the proposal reduce the safety for pedestrians, particularly children, by obscuring sightlines from public areas? </w:t>
            </w:r>
          </w:p>
        </w:tc>
        <w:tc>
          <w:tcPr>
            <w:tcW w:w="3364" w:type="dxa"/>
            <w:vMerge/>
          </w:tcPr>
          <w:p w14:paraId="7A46F540" w14:textId="77777777" w:rsidR="00537378" w:rsidRPr="00A319F0" w:rsidRDefault="00537378" w:rsidP="00537378">
            <w:pPr>
              <w:pStyle w:val="TableHeadingGrey"/>
              <w:rPr>
                <w:b w:val="0"/>
                <w:bCs/>
              </w:rPr>
            </w:pPr>
          </w:p>
        </w:tc>
        <w:tc>
          <w:tcPr>
            <w:tcW w:w="3364" w:type="dxa"/>
          </w:tcPr>
          <w:p w14:paraId="0F3B9409" w14:textId="1435EC32" w:rsidR="00537378" w:rsidRDefault="00537378" w:rsidP="00537378">
            <w:pPr>
              <w:pStyle w:val="TableText"/>
            </w:pPr>
            <w:r w:rsidRPr="009A6ECD">
              <w:rPr>
                <w:b/>
                <w:bCs/>
              </w:rPr>
              <w:t xml:space="preserve">Complies. </w:t>
            </w:r>
          </w:p>
        </w:tc>
      </w:tr>
    </w:tbl>
    <w:p w14:paraId="3747EA39" w14:textId="4C14706A" w:rsidR="000A1F96" w:rsidRDefault="003003C2" w:rsidP="00356C78">
      <w:pPr>
        <w:pStyle w:val="BodyText"/>
      </w:pPr>
      <w:r>
        <w:t xml:space="preserve">Based on the table above it is considered that the proposal complies with the SEPP 64. </w:t>
      </w:r>
    </w:p>
    <w:p w14:paraId="68C65D63" w14:textId="523C1252" w:rsidR="000C527B" w:rsidRDefault="00B71213" w:rsidP="009D1556">
      <w:pPr>
        <w:pStyle w:val="Heading3"/>
      </w:pPr>
      <w:bookmarkStart w:id="31" w:name="_Toc48230315"/>
      <w:r>
        <w:rPr>
          <w:rFonts w:eastAsiaTheme="minorHAnsi"/>
        </w:rPr>
        <w:t>Queanbeyan</w:t>
      </w:r>
      <w:r>
        <w:t xml:space="preserve"> </w:t>
      </w:r>
      <w:r w:rsidR="000C527B">
        <w:t>Local Environmental Plan</w:t>
      </w:r>
      <w:r>
        <w:t xml:space="preserve"> 2012</w:t>
      </w:r>
      <w:bookmarkEnd w:id="31"/>
    </w:p>
    <w:p w14:paraId="39AE8B73" w14:textId="6591A0C1" w:rsidR="008A223A" w:rsidRDefault="005D1CA9" w:rsidP="000C527B">
      <w:pPr>
        <w:pStyle w:val="BodyText"/>
        <w:rPr>
          <w:rFonts w:eastAsiaTheme="minorHAnsi"/>
        </w:rPr>
      </w:pPr>
      <w:r w:rsidRPr="0089435B">
        <w:rPr>
          <w:rFonts w:eastAsiaTheme="minorHAnsi"/>
        </w:rPr>
        <w:t xml:space="preserve">The </w:t>
      </w:r>
      <w:r w:rsidR="008A223A">
        <w:rPr>
          <w:rFonts w:eastAsiaTheme="minorHAnsi"/>
        </w:rPr>
        <w:t xml:space="preserve">provisions of the </w:t>
      </w:r>
      <w:r w:rsidR="004B6138">
        <w:rPr>
          <w:rFonts w:eastAsiaTheme="minorHAnsi"/>
        </w:rPr>
        <w:t>Queanbeyan</w:t>
      </w:r>
      <w:r w:rsidRPr="0089435B">
        <w:rPr>
          <w:rFonts w:eastAsiaTheme="minorHAnsi"/>
        </w:rPr>
        <w:t xml:space="preserve"> Local Environmental Plan </w:t>
      </w:r>
      <w:r>
        <w:rPr>
          <w:rFonts w:eastAsiaTheme="minorHAnsi"/>
        </w:rPr>
        <w:t>(</w:t>
      </w:r>
      <w:r w:rsidR="004B6138">
        <w:rPr>
          <w:rFonts w:eastAsiaTheme="minorHAnsi"/>
        </w:rPr>
        <w:t>Q</w:t>
      </w:r>
      <w:r>
        <w:rPr>
          <w:rFonts w:eastAsiaTheme="minorHAnsi"/>
        </w:rPr>
        <w:t xml:space="preserve">LEP) </w:t>
      </w:r>
      <w:r w:rsidRPr="0089435B">
        <w:rPr>
          <w:rFonts w:eastAsiaTheme="minorHAnsi"/>
        </w:rPr>
        <w:t>201</w:t>
      </w:r>
      <w:r w:rsidR="004B6138">
        <w:rPr>
          <w:rFonts w:eastAsiaTheme="minorHAnsi"/>
        </w:rPr>
        <w:t>2</w:t>
      </w:r>
      <w:r w:rsidR="008A223A">
        <w:rPr>
          <w:rFonts w:eastAsiaTheme="minorHAnsi"/>
        </w:rPr>
        <w:t xml:space="preserve"> apply to the development</w:t>
      </w:r>
      <w:r w:rsidRPr="0089435B">
        <w:rPr>
          <w:rFonts w:eastAsiaTheme="minorHAnsi"/>
        </w:rPr>
        <w:t xml:space="preserve">.  </w:t>
      </w:r>
    </w:p>
    <w:p w14:paraId="59024417" w14:textId="61F07CD6" w:rsidR="008A223A" w:rsidRDefault="008A223A" w:rsidP="000C527B">
      <w:pPr>
        <w:pStyle w:val="BodyText"/>
        <w:rPr>
          <w:rFonts w:eastAsiaTheme="minorHAnsi"/>
        </w:rPr>
      </w:pPr>
      <w:r>
        <w:rPr>
          <w:rFonts w:eastAsiaTheme="minorHAnsi"/>
        </w:rPr>
        <w:t>The land is zoned B3 Commercial Core</w:t>
      </w:r>
      <w:r w:rsidRPr="0089435B">
        <w:rPr>
          <w:rFonts w:eastAsiaTheme="minorHAnsi"/>
        </w:rPr>
        <w:t xml:space="preserve"> zone under</w:t>
      </w:r>
      <w:r>
        <w:rPr>
          <w:rFonts w:eastAsiaTheme="minorHAnsi"/>
        </w:rPr>
        <w:t xml:space="preserve"> the QLEP.  The development can be characterised by the dominant use as a public administration building under the QLEP.  </w:t>
      </w:r>
    </w:p>
    <w:p w14:paraId="16F9CFD7" w14:textId="69B0E24D" w:rsidR="008A223A" w:rsidRPr="00377C07" w:rsidRDefault="008A223A" w:rsidP="008A223A">
      <w:pPr>
        <w:pStyle w:val="BodyText"/>
        <w:rPr>
          <w:rFonts w:eastAsiaTheme="minorHAnsi"/>
          <w:i/>
          <w:iCs/>
        </w:rPr>
      </w:pPr>
      <w:r w:rsidRPr="00377C07">
        <w:rPr>
          <w:rFonts w:eastAsiaTheme="minorHAnsi"/>
          <w:b/>
          <w:bCs/>
          <w:i/>
          <w:iCs/>
        </w:rPr>
        <w:t>Public administration building</w:t>
      </w:r>
      <w:r>
        <w:rPr>
          <w:rFonts w:eastAsiaTheme="minorHAnsi"/>
        </w:rPr>
        <w:t xml:space="preserve"> </w:t>
      </w:r>
      <w:r w:rsidRPr="00377C07">
        <w:rPr>
          <w:rFonts w:eastAsiaTheme="minorHAnsi"/>
          <w:i/>
          <w:iCs/>
        </w:rPr>
        <w:t xml:space="preserve">means </w:t>
      </w:r>
      <w:r w:rsidRPr="00377C07">
        <w:rPr>
          <w:i/>
          <w:iCs/>
          <w:shd w:val="clear" w:color="auto" w:fill="FFFFFF"/>
        </w:rPr>
        <w:t>a building used as offices or for administrative or other like purposes by the Crown, a statutory body, a council or an organisation established for public purposes, and includes a courthouse or a police station.</w:t>
      </w:r>
    </w:p>
    <w:p w14:paraId="08BC12C0" w14:textId="71A2B499" w:rsidR="008A223A" w:rsidRDefault="008A223A" w:rsidP="000C527B">
      <w:pPr>
        <w:pStyle w:val="BodyText"/>
        <w:rPr>
          <w:rFonts w:eastAsiaTheme="minorHAnsi"/>
        </w:rPr>
      </w:pPr>
      <w:r>
        <w:rPr>
          <w:rFonts w:eastAsiaTheme="minorHAnsi"/>
        </w:rPr>
        <w:t>The proposal includes community space and a library and ground floor retail premises as secondary uses.  All of these secondary uses are permissible in the B3 Commercial Core</w:t>
      </w:r>
      <w:r w:rsidRPr="0089435B">
        <w:rPr>
          <w:rFonts w:eastAsiaTheme="minorHAnsi"/>
        </w:rPr>
        <w:t xml:space="preserve"> zone</w:t>
      </w:r>
      <w:r>
        <w:rPr>
          <w:rFonts w:eastAsiaTheme="minorHAnsi"/>
        </w:rPr>
        <w:t>.</w:t>
      </w:r>
    </w:p>
    <w:p w14:paraId="3116C981" w14:textId="1ED0FE9B" w:rsidR="000C527B" w:rsidRPr="007F2934" w:rsidRDefault="005D1CA9" w:rsidP="000C527B">
      <w:pPr>
        <w:pStyle w:val="BodyText"/>
        <w:rPr>
          <w:rFonts w:eastAsiaTheme="minorHAnsi"/>
        </w:rPr>
      </w:pPr>
      <w:r w:rsidRPr="007F2934">
        <w:t xml:space="preserve">The objectives of the </w:t>
      </w:r>
      <w:r w:rsidR="004B6138">
        <w:t xml:space="preserve">B3 </w:t>
      </w:r>
      <w:r w:rsidR="00B71213">
        <w:t>C</w:t>
      </w:r>
      <w:r w:rsidR="004B6138">
        <w:t>ommercial Core</w:t>
      </w:r>
      <w:r w:rsidRPr="007F2934">
        <w:t xml:space="preserve"> zone are:</w:t>
      </w:r>
    </w:p>
    <w:p w14:paraId="041F0639" w14:textId="77777777" w:rsidR="004B6138" w:rsidRPr="004B6138" w:rsidRDefault="004B6138" w:rsidP="004B6138">
      <w:pPr>
        <w:pStyle w:val="ListBullet0"/>
        <w:rPr>
          <w:i/>
          <w:iCs/>
        </w:rPr>
      </w:pPr>
      <w:r w:rsidRPr="004B6138">
        <w:rPr>
          <w:i/>
          <w:iCs/>
        </w:rPr>
        <w:t xml:space="preserve">To provide a wide range of retail, business, office, entertainment, community and other suitable land uses that serve the needs of the local and wider community. </w:t>
      </w:r>
    </w:p>
    <w:p w14:paraId="10AD18AB" w14:textId="77777777" w:rsidR="004B6138" w:rsidRPr="004B6138" w:rsidRDefault="004B6138" w:rsidP="004B6138">
      <w:pPr>
        <w:pStyle w:val="ListBullet0"/>
        <w:rPr>
          <w:i/>
          <w:iCs/>
        </w:rPr>
      </w:pPr>
      <w:r w:rsidRPr="004B6138">
        <w:rPr>
          <w:i/>
          <w:iCs/>
        </w:rPr>
        <w:t xml:space="preserve">To encourage appropriate employment opportunities in accessible locations. </w:t>
      </w:r>
    </w:p>
    <w:p w14:paraId="28114D1D" w14:textId="77777777" w:rsidR="004B6138" w:rsidRPr="004B6138" w:rsidRDefault="004B6138" w:rsidP="004B6138">
      <w:pPr>
        <w:pStyle w:val="ListBullet0"/>
        <w:rPr>
          <w:i/>
          <w:iCs/>
        </w:rPr>
      </w:pPr>
      <w:r w:rsidRPr="004B6138">
        <w:rPr>
          <w:i/>
          <w:iCs/>
        </w:rPr>
        <w:t xml:space="preserve">To maximise public transport patronage and encourage walking and cycling. </w:t>
      </w:r>
    </w:p>
    <w:p w14:paraId="28637F85" w14:textId="50F2723E" w:rsidR="004B6138" w:rsidRPr="004B6138" w:rsidRDefault="004B6138" w:rsidP="004B6138">
      <w:pPr>
        <w:pStyle w:val="ListBullet0"/>
        <w:rPr>
          <w:i/>
          <w:iCs/>
        </w:rPr>
      </w:pPr>
      <w:r w:rsidRPr="004B6138">
        <w:rPr>
          <w:i/>
          <w:iCs/>
        </w:rPr>
        <w:t xml:space="preserve">To recognise the Queanbeyan central business district as the main commercial and retail centre of Queanbeyan and to reinforce its commercial and retail primacy in Queanbeyan. </w:t>
      </w:r>
    </w:p>
    <w:p w14:paraId="00158C32" w14:textId="4D6DE0A2" w:rsidR="004B6138" w:rsidRPr="004B6138" w:rsidRDefault="004B6138" w:rsidP="004B6138">
      <w:pPr>
        <w:pStyle w:val="ListBullet0"/>
        <w:rPr>
          <w:i/>
          <w:iCs/>
        </w:rPr>
      </w:pPr>
      <w:r w:rsidRPr="004B6138">
        <w:rPr>
          <w:i/>
          <w:iCs/>
        </w:rPr>
        <w:t>To encourage some high density residential uses in conjunction with retail or employment uses where appropriate</w:t>
      </w:r>
    </w:p>
    <w:p w14:paraId="46DE0EC8" w14:textId="7299FF4C" w:rsidR="0078596B" w:rsidRDefault="008A223A" w:rsidP="000C527B">
      <w:pPr>
        <w:pStyle w:val="BodyText"/>
      </w:pPr>
      <w:r>
        <w:t>The development is consistent with the objectives of the B3 Commercial Core zone.</w:t>
      </w:r>
    </w:p>
    <w:p w14:paraId="11977C06" w14:textId="158D62FA" w:rsidR="000C527B" w:rsidRDefault="009E73C1" w:rsidP="000C527B">
      <w:pPr>
        <w:pStyle w:val="BodyText"/>
        <w:rPr>
          <w:rFonts w:eastAsiaTheme="minorHAnsi"/>
        </w:rPr>
      </w:pPr>
      <w:r>
        <w:t>F</w:t>
      </w:r>
      <w:r w:rsidR="000C527B" w:rsidRPr="0089435B">
        <w:rPr>
          <w:rFonts w:eastAsiaTheme="minorHAnsi"/>
        </w:rPr>
        <w:t>ollowing</w:t>
      </w:r>
      <w:r w:rsidR="004D606B">
        <w:rPr>
          <w:rFonts w:eastAsiaTheme="minorHAnsi"/>
        </w:rPr>
        <w:t>,</w:t>
      </w:r>
      <w:r w:rsidR="000C527B" w:rsidRPr="0089435B">
        <w:rPr>
          <w:rFonts w:eastAsiaTheme="minorHAnsi"/>
        </w:rPr>
        <w:t xml:space="preserve"> is a summary table indicating the performance of the proposal against relevant statutory standards.</w:t>
      </w:r>
    </w:p>
    <w:p w14:paraId="4B16E0C0" w14:textId="5D0FE269" w:rsidR="000C527B" w:rsidRDefault="000C527B" w:rsidP="000C527B">
      <w:pPr>
        <w:pStyle w:val="TableCaption"/>
      </w:pPr>
      <w:bookmarkStart w:id="32" w:name="_Toc48230347"/>
      <w:r>
        <w:lastRenderedPageBreak/>
        <w:t>Table </w:t>
      </w:r>
      <w:r w:rsidR="0070791B">
        <w:rPr>
          <w:noProof/>
        </w:rPr>
        <w:fldChar w:fldCharType="begin"/>
      </w:r>
      <w:r w:rsidR="0070791B">
        <w:rPr>
          <w:noProof/>
        </w:rPr>
        <w:instrText xml:space="preserve"> SEQ Table \* ARABIC </w:instrText>
      </w:r>
      <w:r w:rsidR="0070791B">
        <w:rPr>
          <w:noProof/>
        </w:rPr>
        <w:fldChar w:fldCharType="separate"/>
      </w:r>
      <w:r w:rsidR="008F4696">
        <w:rPr>
          <w:noProof/>
        </w:rPr>
        <w:t>5</w:t>
      </w:r>
      <w:r w:rsidR="0070791B">
        <w:rPr>
          <w:noProof/>
        </w:rPr>
        <w:fldChar w:fldCharType="end"/>
      </w:r>
      <w:r>
        <w:tab/>
      </w:r>
      <w:r w:rsidR="00156511">
        <w:t>QLEP</w:t>
      </w:r>
      <w:r>
        <w:t xml:space="preserve"> Assessment</w:t>
      </w:r>
      <w:bookmarkEnd w:id="32"/>
    </w:p>
    <w:tbl>
      <w:tblPr>
        <w:tblStyle w:val="GreenLinedTable"/>
        <w:tblW w:w="5000" w:type="pct"/>
        <w:tblLayout w:type="fixed"/>
        <w:tblLook w:val="0620" w:firstRow="1" w:lastRow="0" w:firstColumn="0" w:lastColumn="0" w:noHBand="1" w:noVBand="1"/>
      </w:tblPr>
      <w:tblGrid>
        <w:gridCol w:w="1781"/>
        <w:gridCol w:w="6866"/>
        <w:gridCol w:w="1445"/>
      </w:tblGrid>
      <w:tr w:rsidR="00701B4C" w14:paraId="528DF61F" w14:textId="77777777" w:rsidTr="004D606B">
        <w:trPr>
          <w:cnfStyle w:val="100000000000" w:firstRow="1" w:lastRow="0" w:firstColumn="0" w:lastColumn="0" w:oddVBand="0" w:evenVBand="0" w:oddHBand="0" w:evenHBand="0" w:firstRowFirstColumn="0" w:firstRowLastColumn="0" w:lastRowFirstColumn="0" w:lastRowLastColumn="0"/>
          <w:tblHeader/>
        </w:trPr>
        <w:tc>
          <w:tcPr>
            <w:tcW w:w="1781" w:type="dxa"/>
            <w:hideMark/>
          </w:tcPr>
          <w:p w14:paraId="13C78917" w14:textId="77777777" w:rsidR="00701B4C" w:rsidRDefault="00701B4C">
            <w:pPr>
              <w:pStyle w:val="TableHeadingGrey"/>
            </w:pPr>
            <w:r>
              <w:t>Control</w:t>
            </w:r>
          </w:p>
        </w:tc>
        <w:tc>
          <w:tcPr>
            <w:tcW w:w="6866" w:type="dxa"/>
            <w:hideMark/>
          </w:tcPr>
          <w:p w14:paraId="68E2E1EA" w14:textId="77777777" w:rsidR="00701B4C" w:rsidRDefault="00701B4C">
            <w:pPr>
              <w:pStyle w:val="TableHeadingGrey"/>
            </w:pPr>
            <w:r>
              <w:t>Comment</w:t>
            </w:r>
          </w:p>
        </w:tc>
        <w:tc>
          <w:tcPr>
            <w:tcW w:w="1445" w:type="dxa"/>
            <w:hideMark/>
          </w:tcPr>
          <w:p w14:paraId="6301AE70" w14:textId="77777777" w:rsidR="00701B4C" w:rsidRDefault="00701B4C">
            <w:pPr>
              <w:pStyle w:val="TableHeadingGrey"/>
            </w:pPr>
            <w:r>
              <w:t>Compliance</w:t>
            </w:r>
          </w:p>
        </w:tc>
      </w:tr>
      <w:tr w:rsidR="00701B4C" w14:paraId="1E3BCA08" w14:textId="77777777" w:rsidTr="004D606B">
        <w:tc>
          <w:tcPr>
            <w:tcW w:w="1781" w:type="dxa"/>
            <w:tcBorders>
              <w:top w:val="single" w:sz="4" w:space="0" w:color="4E4E50" w:themeColor="accent2"/>
              <w:left w:val="nil"/>
              <w:bottom w:val="single" w:sz="4" w:space="0" w:color="4E4E50" w:themeColor="accent2"/>
              <w:right w:val="nil"/>
            </w:tcBorders>
            <w:hideMark/>
          </w:tcPr>
          <w:p w14:paraId="2B27F1A2" w14:textId="002460E6" w:rsidR="00701B4C" w:rsidRDefault="00701B4C">
            <w:pPr>
              <w:pStyle w:val="TableText"/>
            </w:pPr>
            <w:r>
              <w:t xml:space="preserve">Zoning </w:t>
            </w:r>
          </w:p>
        </w:tc>
        <w:tc>
          <w:tcPr>
            <w:tcW w:w="6866" w:type="dxa"/>
            <w:tcBorders>
              <w:top w:val="single" w:sz="4" w:space="0" w:color="4E4E50" w:themeColor="accent2"/>
              <w:left w:val="nil"/>
              <w:bottom w:val="single" w:sz="4" w:space="0" w:color="4E4E50" w:themeColor="accent2"/>
              <w:right w:val="nil"/>
            </w:tcBorders>
            <w:hideMark/>
          </w:tcPr>
          <w:p w14:paraId="366D9CAF" w14:textId="6652CAE7" w:rsidR="00701B4C" w:rsidRDefault="00701B4C">
            <w:pPr>
              <w:pStyle w:val="TableText"/>
            </w:pPr>
            <w:r>
              <w:t>The proposal includes a public administration building and various ancillary uses such as commercial premises (café and office premises) and information and educational facility (library).</w:t>
            </w:r>
          </w:p>
          <w:p w14:paraId="32CB3CA4" w14:textId="77777777" w:rsidR="00701B4C" w:rsidRDefault="00701B4C">
            <w:pPr>
              <w:pStyle w:val="TableText"/>
            </w:pPr>
            <w:r>
              <w:t>All proposed uses are permitted in the B3 zone.</w:t>
            </w:r>
          </w:p>
          <w:p w14:paraId="2620AE55" w14:textId="21EEBBFE" w:rsidR="00642E23" w:rsidRDefault="00642E23">
            <w:pPr>
              <w:pStyle w:val="TableText"/>
            </w:pPr>
            <w:r>
              <w:rPr>
                <w:noProof/>
                <w:lang w:eastAsia="en-AU"/>
              </w:rPr>
              <w:drawing>
                <wp:inline distT="0" distB="0" distL="0" distR="0" wp14:anchorId="5EAEB97E" wp14:editId="700F0148">
                  <wp:extent cx="4133850" cy="27717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133850" cy="2771775"/>
                          </a:xfrm>
                          <a:prstGeom prst="rect">
                            <a:avLst/>
                          </a:prstGeom>
                        </pic:spPr>
                      </pic:pic>
                    </a:graphicData>
                  </a:graphic>
                </wp:inline>
              </w:drawing>
            </w:r>
          </w:p>
        </w:tc>
        <w:tc>
          <w:tcPr>
            <w:tcW w:w="1445" w:type="dxa"/>
            <w:tcBorders>
              <w:top w:val="single" w:sz="4" w:space="0" w:color="4E4E50" w:themeColor="accent2"/>
              <w:left w:val="nil"/>
              <w:bottom w:val="single" w:sz="4" w:space="0" w:color="4E4E50" w:themeColor="accent2"/>
              <w:right w:val="nil"/>
            </w:tcBorders>
            <w:hideMark/>
          </w:tcPr>
          <w:p w14:paraId="4ECCB4AA" w14:textId="77777777" w:rsidR="00701B4C" w:rsidRPr="004D606B" w:rsidRDefault="00701B4C">
            <w:pPr>
              <w:pStyle w:val="TableText"/>
              <w:rPr>
                <w:b/>
                <w:bCs/>
              </w:rPr>
            </w:pPr>
            <w:r w:rsidRPr="004D606B">
              <w:rPr>
                <w:b/>
                <w:bCs/>
              </w:rPr>
              <w:t xml:space="preserve">Complies </w:t>
            </w:r>
          </w:p>
        </w:tc>
      </w:tr>
      <w:tr w:rsidR="00701B4C" w14:paraId="615E68D1" w14:textId="77777777" w:rsidTr="004D606B">
        <w:tc>
          <w:tcPr>
            <w:tcW w:w="1781" w:type="dxa"/>
            <w:tcBorders>
              <w:top w:val="single" w:sz="4" w:space="0" w:color="4E4E50" w:themeColor="accent2"/>
              <w:left w:val="nil"/>
              <w:bottom w:val="single" w:sz="4" w:space="0" w:color="4E4E50" w:themeColor="accent2"/>
              <w:right w:val="nil"/>
            </w:tcBorders>
            <w:hideMark/>
          </w:tcPr>
          <w:p w14:paraId="76C25A70" w14:textId="77777777" w:rsidR="00701B4C" w:rsidRDefault="00701B4C">
            <w:pPr>
              <w:pStyle w:val="TableText"/>
            </w:pPr>
            <w:r>
              <w:t xml:space="preserve">Clause 2.6 Subdivision – consent requirements </w:t>
            </w:r>
          </w:p>
        </w:tc>
        <w:tc>
          <w:tcPr>
            <w:tcW w:w="6866" w:type="dxa"/>
            <w:tcBorders>
              <w:top w:val="single" w:sz="4" w:space="0" w:color="4E4E50" w:themeColor="accent2"/>
              <w:left w:val="nil"/>
              <w:bottom w:val="single" w:sz="4" w:space="0" w:color="4E4E50" w:themeColor="accent2"/>
              <w:right w:val="nil"/>
            </w:tcBorders>
            <w:hideMark/>
          </w:tcPr>
          <w:p w14:paraId="19146A1C" w14:textId="0800F48A" w:rsidR="00701B4C" w:rsidRDefault="00701B4C">
            <w:pPr>
              <w:pStyle w:val="TableText"/>
            </w:pPr>
            <w:r>
              <w:t xml:space="preserve">The proposed Subdivision Plan includes </w:t>
            </w:r>
            <w:r w:rsidR="004D606B">
              <w:t xml:space="preserve">the </w:t>
            </w:r>
            <w:r>
              <w:t>consolidation of lots as follows:</w:t>
            </w:r>
          </w:p>
          <w:p w14:paraId="3F376B8B" w14:textId="54FB3A70" w:rsidR="00701B4C" w:rsidRDefault="004D606B" w:rsidP="0071072A">
            <w:pPr>
              <w:pStyle w:val="TableBullet"/>
              <w:numPr>
                <w:ilvl w:val="0"/>
                <w:numId w:val="21"/>
              </w:numPr>
              <w:rPr>
                <w:lang w:eastAsia="en-US"/>
              </w:rPr>
            </w:pPr>
            <w:r>
              <w:rPr>
                <w:lang w:eastAsia="en-US"/>
              </w:rPr>
              <w:t>Lots</w:t>
            </w:r>
            <w:r w:rsidR="00701B4C">
              <w:rPr>
                <w:lang w:eastAsia="en-US"/>
              </w:rPr>
              <w:t xml:space="preserve"> 1, 2 (part) and 5 DP1179998 and </w:t>
            </w:r>
            <w:r>
              <w:rPr>
                <w:lang w:eastAsia="en-US"/>
              </w:rPr>
              <w:t>L</w:t>
            </w:r>
            <w:r w:rsidR="00701B4C">
              <w:rPr>
                <w:lang w:eastAsia="en-US"/>
              </w:rPr>
              <w:t>ot DP748338</w:t>
            </w:r>
          </w:p>
          <w:p w14:paraId="4C259640" w14:textId="14D8B8A2" w:rsidR="00701B4C" w:rsidRDefault="004D606B" w:rsidP="0071072A">
            <w:pPr>
              <w:pStyle w:val="TableBullet"/>
              <w:numPr>
                <w:ilvl w:val="0"/>
                <w:numId w:val="21"/>
              </w:numPr>
              <w:rPr>
                <w:lang w:eastAsia="en-US"/>
              </w:rPr>
            </w:pPr>
            <w:r>
              <w:rPr>
                <w:lang w:eastAsia="en-US"/>
              </w:rPr>
              <w:t>L</w:t>
            </w:r>
            <w:r w:rsidR="00701B4C">
              <w:rPr>
                <w:lang w:eastAsia="en-US"/>
              </w:rPr>
              <w:t xml:space="preserve">ot 18 DP548244 and part </w:t>
            </w:r>
            <w:r>
              <w:rPr>
                <w:lang w:eastAsia="en-US"/>
              </w:rPr>
              <w:t>L</w:t>
            </w:r>
            <w:r w:rsidR="00701B4C">
              <w:rPr>
                <w:lang w:eastAsia="en-US"/>
              </w:rPr>
              <w:t>ot 2 DP748338.</w:t>
            </w:r>
          </w:p>
          <w:p w14:paraId="5901FE86" w14:textId="77777777" w:rsidR="00701B4C" w:rsidRDefault="00701B4C">
            <w:pPr>
              <w:pStyle w:val="TableText"/>
            </w:pPr>
            <w:r>
              <w:t>The overall intent of the Subdivision Plan is supported, noting the heritage implications under Clause 5.10.</w:t>
            </w:r>
          </w:p>
          <w:p w14:paraId="3C8E3C63" w14:textId="77777777" w:rsidR="00701B4C" w:rsidRDefault="00701B4C">
            <w:pPr>
              <w:pStyle w:val="TableText"/>
            </w:pPr>
            <w:r>
              <w:t xml:space="preserve">It is noted that there is no minimum lot size for the subject site. </w:t>
            </w:r>
          </w:p>
        </w:tc>
        <w:tc>
          <w:tcPr>
            <w:tcW w:w="1445" w:type="dxa"/>
            <w:tcBorders>
              <w:top w:val="single" w:sz="4" w:space="0" w:color="4E4E50" w:themeColor="accent2"/>
              <w:left w:val="nil"/>
              <w:bottom w:val="single" w:sz="4" w:space="0" w:color="4E4E50" w:themeColor="accent2"/>
              <w:right w:val="nil"/>
            </w:tcBorders>
            <w:hideMark/>
          </w:tcPr>
          <w:p w14:paraId="37AF7669" w14:textId="77777777" w:rsidR="00701B4C" w:rsidRPr="004D606B" w:rsidRDefault="00701B4C">
            <w:pPr>
              <w:pStyle w:val="TableText"/>
              <w:rPr>
                <w:b/>
                <w:bCs/>
              </w:rPr>
            </w:pPr>
            <w:r w:rsidRPr="004D606B">
              <w:rPr>
                <w:b/>
                <w:bCs/>
              </w:rPr>
              <w:t xml:space="preserve">Complies </w:t>
            </w:r>
          </w:p>
        </w:tc>
      </w:tr>
      <w:tr w:rsidR="00701B4C" w14:paraId="25364348" w14:textId="77777777" w:rsidTr="004D606B">
        <w:tc>
          <w:tcPr>
            <w:tcW w:w="1781" w:type="dxa"/>
            <w:tcBorders>
              <w:top w:val="single" w:sz="4" w:space="0" w:color="4E4E50" w:themeColor="accent2"/>
              <w:left w:val="nil"/>
              <w:bottom w:val="single" w:sz="4" w:space="0" w:color="4E4E50" w:themeColor="accent2"/>
              <w:right w:val="nil"/>
            </w:tcBorders>
            <w:hideMark/>
          </w:tcPr>
          <w:p w14:paraId="7DE80F7C" w14:textId="77777777" w:rsidR="00701B4C" w:rsidRDefault="00701B4C">
            <w:pPr>
              <w:pStyle w:val="TableText"/>
            </w:pPr>
            <w:r>
              <w:t>Clause 2.7 Demolition requires development consent</w:t>
            </w:r>
          </w:p>
        </w:tc>
        <w:tc>
          <w:tcPr>
            <w:tcW w:w="6866" w:type="dxa"/>
            <w:tcBorders>
              <w:top w:val="single" w:sz="4" w:space="0" w:color="4E4E50" w:themeColor="accent2"/>
              <w:left w:val="nil"/>
              <w:bottom w:val="single" w:sz="4" w:space="0" w:color="4E4E50" w:themeColor="accent2"/>
              <w:right w:val="nil"/>
            </w:tcBorders>
            <w:hideMark/>
          </w:tcPr>
          <w:p w14:paraId="4AA70806" w14:textId="77777777" w:rsidR="00701B4C" w:rsidRDefault="00701B4C">
            <w:pPr>
              <w:pStyle w:val="TableText"/>
              <w:rPr>
                <w:szCs w:val="20"/>
              </w:rPr>
            </w:pPr>
            <w:r>
              <w:rPr>
                <w:szCs w:val="20"/>
              </w:rPr>
              <w:t>The proposal includes demolition of the following structures:</w:t>
            </w:r>
          </w:p>
          <w:p w14:paraId="04EBB150" w14:textId="77777777" w:rsidR="00701B4C" w:rsidRDefault="00701B4C" w:rsidP="0071072A">
            <w:pPr>
              <w:pStyle w:val="TableBullet"/>
              <w:numPr>
                <w:ilvl w:val="0"/>
                <w:numId w:val="21"/>
              </w:numPr>
              <w:rPr>
                <w:lang w:eastAsia="en-US"/>
              </w:rPr>
            </w:pPr>
            <w:r>
              <w:rPr>
                <w:lang w:eastAsia="en-US"/>
              </w:rPr>
              <w:t xml:space="preserve">Demolition of an existing substation that serviced the previous Council Administration building at 257 Crawford Street </w:t>
            </w:r>
          </w:p>
          <w:p w14:paraId="60FE0973" w14:textId="77777777" w:rsidR="00701B4C" w:rsidRDefault="00701B4C" w:rsidP="0071072A">
            <w:pPr>
              <w:pStyle w:val="TableBullet"/>
              <w:numPr>
                <w:ilvl w:val="0"/>
                <w:numId w:val="21"/>
              </w:numPr>
              <w:rPr>
                <w:lang w:eastAsia="en-US"/>
              </w:rPr>
            </w:pPr>
            <w:r>
              <w:rPr>
                <w:lang w:eastAsia="en-US"/>
              </w:rPr>
              <w:t xml:space="preserve">Decommissioning and removal of existing substation adjacent to the previous Council Administration building </w:t>
            </w:r>
          </w:p>
          <w:p w14:paraId="0CBD743F" w14:textId="77777777" w:rsidR="00701B4C" w:rsidRDefault="00701B4C" w:rsidP="0071072A">
            <w:pPr>
              <w:pStyle w:val="TableBullet"/>
              <w:numPr>
                <w:ilvl w:val="0"/>
                <w:numId w:val="21"/>
              </w:numPr>
              <w:rPr>
                <w:lang w:eastAsia="en-US"/>
              </w:rPr>
            </w:pPr>
            <w:r>
              <w:rPr>
                <w:lang w:eastAsia="en-US"/>
              </w:rPr>
              <w:t>Partial demolition relating to Bicentennial Hall &amp; The Q Foyer / Link including removal of stairs on the southern side of the Bicentennial Hall and removal of the entrance ramp at The Q Theatre foyer</w:t>
            </w:r>
          </w:p>
          <w:p w14:paraId="5B2144D7" w14:textId="77777777" w:rsidR="00701B4C" w:rsidRDefault="00701B4C" w:rsidP="0071072A">
            <w:pPr>
              <w:pStyle w:val="TableBullet"/>
              <w:numPr>
                <w:ilvl w:val="0"/>
                <w:numId w:val="21"/>
              </w:numPr>
              <w:rPr>
                <w:lang w:eastAsia="en-US"/>
              </w:rPr>
            </w:pPr>
            <w:r>
              <w:rPr>
                <w:lang w:eastAsia="en-US"/>
              </w:rPr>
              <w:t>Demolition of all structures and buildings on Lot 2 DP748338 (10 Rutledge Street)</w:t>
            </w:r>
          </w:p>
          <w:p w14:paraId="265ACF8A" w14:textId="77777777" w:rsidR="00701B4C" w:rsidRDefault="00701B4C" w:rsidP="0071072A">
            <w:pPr>
              <w:pStyle w:val="TableBullet"/>
              <w:numPr>
                <w:ilvl w:val="0"/>
                <w:numId w:val="21"/>
              </w:numPr>
              <w:rPr>
                <w:lang w:eastAsia="en-US"/>
              </w:rPr>
            </w:pPr>
            <w:r>
              <w:rPr>
                <w:lang w:eastAsia="en-US"/>
              </w:rPr>
              <w:t>Demolition of structure on Lot 18 DP548244 (Land 12 Rutledge Street)</w:t>
            </w:r>
          </w:p>
          <w:p w14:paraId="04D89609" w14:textId="77777777" w:rsidR="00701B4C" w:rsidRDefault="00701B4C">
            <w:pPr>
              <w:pStyle w:val="TableText"/>
              <w:rPr>
                <w:szCs w:val="20"/>
              </w:rPr>
            </w:pPr>
            <w:r>
              <w:rPr>
                <w:szCs w:val="20"/>
              </w:rPr>
              <w:t>Development consent for the demolition can be provided as part of this application.</w:t>
            </w:r>
          </w:p>
        </w:tc>
        <w:tc>
          <w:tcPr>
            <w:tcW w:w="1445" w:type="dxa"/>
            <w:tcBorders>
              <w:top w:val="single" w:sz="4" w:space="0" w:color="4E4E50" w:themeColor="accent2"/>
              <w:left w:val="nil"/>
              <w:bottom w:val="single" w:sz="4" w:space="0" w:color="4E4E50" w:themeColor="accent2"/>
              <w:right w:val="nil"/>
            </w:tcBorders>
            <w:hideMark/>
          </w:tcPr>
          <w:p w14:paraId="040093E4" w14:textId="77777777" w:rsidR="00701B4C" w:rsidRPr="004D606B" w:rsidRDefault="00701B4C">
            <w:pPr>
              <w:pStyle w:val="TableText"/>
              <w:rPr>
                <w:b/>
                <w:bCs/>
              </w:rPr>
            </w:pPr>
            <w:r w:rsidRPr="004D606B">
              <w:rPr>
                <w:b/>
                <w:bCs/>
              </w:rPr>
              <w:t xml:space="preserve">Complies </w:t>
            </w:r>
          </w:p>
        </w:tc>
      </w:tr>
      <w:tr w:rsidR="00701B4C" w14:paraId="454E8E6A" w14:textId="77777777" w:rsidTr="004D606B">
        <w:tc>
          <w:tcPr>
            <w:tcW w:w="1781" w:type="dxa"/>
            <w:tcBorders>
              <w:top w:val="single" w:sz="4" w:space="0" w:color="4E4E50" w:themeColor="accent2"/>
              <w:left w:val="nil"/>
              <w:bottom w:val="single" w:sz="4" w:space="0" w:color="4E4E50" w:themeColor="accent2"/>
              <w:right w:val="nil"/>
            </w:tcBorders>
            <w:hideMark/>
          </w:tcPr>
          <w:p w14:paraId="2DBFF680" w14:textId="77777777" w:rsidR="00701B4C" w:rsidRDefault="00701B4C">
            <w:pPr>
              <w:pStyle w:val="TableText"/>
            </w:pPr>
            <w:r>
              <w:t>Clause 4.1 Minimum subdivision lot size</w:t>
            </w:r>
          </w:p>
        </w:tc>
        <w:tc>
          <w:tcPr>
            <w:tcW w:w="6866" w:type="dxa"/>
            <w:tcBorders>
              <w:top w:val="single" w:sz="4" w:space="0" w:color="4E4E50" w:themeColor="accent2"/>
              <w:left w:val="nil"/>
              <w:bottom w:val="single" w:sz="4" w:space="0" w:color="4E4E50" w:themeColor="accent2"/>
              <w:right w:val="nil"/>
            </w:tcBorders>
            <w:hideMark/>
          </w:tcPr>
          <w:p w14:paraId="38606212" w14:textId="4DDCF930" w:rsidR="00701B4C" w:rsidRDefault="0078596B">
            <w:pPr>
              <w:pStyle w:val="TableText"/>
            </w:pPr>
            <w:r>
              <w:t xml:space="preserve">There is no minimum lot size. </w:t>
            </w:r>
          </w:p>
        </w:tc>
        <w:tc>
          <w:tcPr>
            <w:tcW w:w="1445" w:type="dxa"/>
            <w:tcBorders>
              <w:top w:val="single" w:sz="4" w:space="0" w:color="4E4E50" w:themeColor="accent2"/>
              <w:left w:val="nil"/>
              <w:bottom w:val="single" w:sz="4" w:space="0" w:color="4E4E50" w:themeColor="accent2"/>
              <w:right w:val="nil"/>
            </w:tcBorders>
            <w:hideMark/>
          </w:tcPr>
          <w:p w14:paraId="649F10A6" w14:textId="31507DCE" w:rsidR="00701B4C" w:rsidRPr="004D606B" w:rsidRDefault="0078596B">
            <w:pPr>
              <w:pStyle w:val="TableText"/>
              <w:rPr>
                <w:b/>
                <w:bCs/>
              </w:rPr>
            </w:pPr>
            <w:r>
              <w:rPr>
                <w:b/>
                <w:bCs/>
              </w:rPr>
              <w:t>Complies</w:t>
            </w:r>
          </w:p>
        </w:tc>
      </w:tr>
      <w:tr w:rsidR="00701B4C" w14:paraId="06623A97" w14:textId="77777777" w:rsidTr="004D606B">
        <w:tc>
          <w:tcPr>
            <w:tcW w:w="1781" w:type="dxa"/>
            <w:tcBorders>
              <w:top w:val="single" w:sz="4" w:space="0" w:color="4E4E50" w:themeColor="accent2"/>
              <w:left w:val="nil"/>
              <w:bottom w:val="single" w:sz="4" w:space="0" w:color="4E4E50" w:themeColor="accent2"/>
              <w:right w:val="nil"/>
            </w:tcBorders>
            <w:hideMark/>
          </w:tcPr>
          <w:p w14:paraId="6D324833" w14:textId="77777777" w:rsidR="00701B4C" w:rsidRDefault="00701B4C">
            <w:pPr>
              <w:pStyle w:val="TableText"/>
            </w:pPr>
            <w:r>
              <w:t>Clause 4.3 Height of buildings</w:t>
            </w:r>
          </w:p>
          <w:p w14:paraId="71BA57BD" w14:textId="3A2990EB" w:rsidR="00642E23" w:rsidRDefault="00642E23">
            <w:pPr>
              <w:pStyle w:val="TableText"/>
            </w:pPr>
            <w:r>
              <w:lastRenderedPageBreak/>
              <w:t>(show on Figure)</w:t>
            </w:r>
          </w:p>
        </w:tc>
        <w:tc>
          <w:tcPr>
            <w:tcW w:w="6866" w:type="dxa"/>
            <w:tcBorders>
              <w:top w:val="single" w:sz="4" w:space="0" w:color="4E4E50" w:themeColor="accent2"/>
              <w:left w:val="nil"/>
              <w:bottom w:val="single" w:sz="4" w:space="0" w:color="4E4E50" w:themeColor="accent2"/>
              <w:right w:val="nil"/>
            </w:tcBorders>
            <w:hideMark/>
          </w:tcPr>
          <w:p w14:paraId="14C4E8B2" w14:textId="3114300E" w:rsidR="00701B4C" w:rsidRDefault="00701B4C">
            <w:pPr>
              <w:pStyle w:val="TableText"/>
              <w:rPr>
                <w:szCs w:val="20"/>
              </w:rPr>
            </w:pPr>
            <w:r>
              <w:rPr>
                <w:szCs w:val="20"/>
              </w:rPr>
              <w:lastRenderedPageBreak/>
              <w:t>The proposed building has two maximum heights</w:t>
            </w:r>
            <w:r w:rsidR="00CA6C39">
              <w:rPr>
                <w:szCs w:val="20"/>
              </w:rPr>
              <w:t xml:space="preserve"> (HOB)</w:t>
            </w:r>
            <w:r>
              <w:rPr>
                <w:szCs w:val="20"/>
              </w:rPr>
              <w:t>:</w:t>
            </w:r>
          </w:p>
          <w:p w14:paraId="611FB207" w14:textId="23796335" w:rsidR="00701B4C" w:rsidRDefault="004D606B" w:rsidP="0071072A">
            <w:pPr>
              <w:pStyle w:val="TableBullet"/>
              <w:numPr>
                <w:ilvl w:val="0"/>
                <w:numId w:val="21"/>
              </w:numPr>
              <w:rPr>
                <w:lang w:eastAsia="en-US"/>
              </w:rPr>
            </w:pPr>
            <w:r>
              <w:rPr>
                <w:lang w:eastAsia="en-US"/>
              </w:rPr>
              <w:t xml:space="preserve">25m </w:t>
            </w:r>
            <w:r w:rsidR="00CA6C39">
              <w:rPr>
                <w:lang w:eastAsia="en-US"/>
              </w:rPr>
              <w:t xml:space="preserve">HOB </w:t>
            </w:r>
            <w:r>
              <w:rPr>
                <w:lang w:eastAsia="en-US"/>
              </w:rPr>
              <w:t>a</w:t>
            </w:r>
            <w:r w:rsidR="00701B4C">
              <w:rPr>
                <w:lang w:eastAsia="en-US"/>
              </w:rPr>
              <w:t>long Crawford Street, to a depth of approximately 40m.</w:t>
            </w:r>
          </w:p>
          <w:p w14:paraId="17FDADAF" w14:textId="080ACDAF" w:rsidR="00701B4C" w:rsidRDefault="00701B4C" w:rsidP="0071072A">
            <w:pPr>
              <w:pStyle w:val="TableBullet"/>
              <w:numPr>
                <w:ilvl w:val="0"/>
                <w:numId w:val="21"/>
              </w:numPr>
              <w:rPr>
                <w:lang w:eastAsia="en-US"/>
              </w:rPr>
            </w:pPr>
            <w:r>
              <w:rPr>
                <w:lang w:eastAsia="en-US"/>
              </w:rPr>
              <w:lastRenderedPageBreak/>
              <w:t>Beyond the 40m line</w:t>
            </w:r>
            <w:r w:rsidR="00CA6C39">
              <w:rPr>
                <w:lang w:eastAsia="en-US"/>
              </w:rPr>
              <w:t xml:space="preserve"> (mid-bock)</w:t>
            </w:r>
            <w:r>
              <w:rPr>
                <w:lang w:eastAsia="en-US"/>
              </w:rPr>
              <w:t xml:space="preserve">, the </w:t>
            </w:r>
            <w:r w:rsidR="00CA6C39">
              <w:rPr>
                <w:lang w:eastAsia="en-US"/>
              </w:rPr>
              <w:t>HOB</w:t>
            </w:r>
            <w:r>
              <w:rPr>
                <w:lang w:eastAsia="en-US"/>
              </w:rPr>
              <w:t xml:space="preserve"> </w:t>
            </w:r>
            <w:r w:rsidR="00355606">
              <w:rPr>
                <w:lang w:eastAsia="en-US"/>
              </w:rPr>
              <w:t>increases</w:t>
            </w:r>
            <w:r>
              <w:rPr>
                <w:lang w:eastAsia="en-US"/>
              </w:rPr>
              <w:t xml:space="preserve"> to 30m.</w:t>
            </w:r>
            <w:r w:rsidR="00642E23">
              <w:rPr>
                <w:noProof/>
              </w:rPr>
              <w:t xml:space="preserve"> </w:t>
            </w:r>
          </w:p>
          <w:p w14:paraId="379E4E3A" w14:textId="03C822AA" w:rsidR="007E453C" w:rsidRDefault="007E453C" w:rsidP="00612DAF">
            <w:pPr>
              <w:pStyle w:val="TableBullet"/>
              <w:numPr>
                <w:ilvl w:val="0"/>
                <w:numId w:val="0"/>
              </w:numPr>
              <w:ind w:left="113"/>
              <w:rPr>
                <w:lang w:eastAsia="en-US"/>
              </w:rPr>
            </w:pPr>
            <w:r>
              <w:rPr>
                <w:noProof/>
              </w:rPr>
              <w:t>The variation in the HOB in the LEP reflects the desire to ensure that buildings with a zero</w:t>
            </w:r>
            <w:r w:rsidR="00CA6C39">
              <w:rPr>
                <w:noProof/>
              </w:rPr>
              <w:t xml:space="preserve"> front setback within the CBD are</w:t>
            </w:r>
            <w:r>
              <w:rPr>
                <w:noProof/>
              </w:rPr>
              <w:t xml:space="preserve"> designed with some articulation in height </w:t>
            </w:r>
            <w:r w:rsidR="00CA6C39">
              <w:rPr>
                <w:noProof/>
              </w:rPr>
              <w:t>to reduce the overall bulk of the development.</w:t>
            </w:r>
          </w:p>
          <w:p w14:paraId="733E445C" w14:textId="6B02D610" w:rsidR="00355606" w:rsidRPr="00782F75" w:rsidRDefault="00355606" w:rsidP="002F55A8">
            <w:pPr>
              <w:pStyle w:val="Caption"/>
            </w:pPr>
            <w:bookmarkStart w:id="33" w:name="_Toc48230339"/>
            <w:r w:rsidRPr="00782F75">
              <w:t xml:space="preserve">Figure </w:t>
            </w:r>
            <w:r>
              <w:rPr>
                <w:noProof/>
              </w:rPr>
              <w:fldChar w:fldCharType="begin"/>
            </w:r>
            <w:r>
              <w:rPr>
                <w:noProof/>
              </w:rPr>
              <w:instrText xml:space="preserve"> SEQ Figure \* ARABIC </w:instrText>
            </w:r>
            <w:r>
              <w:rPr>
                <w:noProof/>
              </w:rPr>
              <w:fldChar w:fldCharType="separate"/>
            </w:r>
            <w:r w:rsidR="008F4696">
              <w:rPr>
                <w:noProof/>
              </w:rPr>
              <w:t>6</w:t>
            </w:r>
            <w:r>
              <w:rPr>
                <w:noProof/>
              </w:rPr>
              <w:fldChar w:fldCharType="end"/>
            </w:r>
            <w:r>
              <w:tab/>
              <w:t>LEP height controls</w:t>
            </w:r>
            <w:bookmarkEnd w:id="33"/>
          </w:p>
          <w:p w14:paraId="7081737A" w14:textId="7A0A8341" w:rsidR="00642E23" w:rsidRDefault="00355606">
            <w:pPr>
              <w:pStyle w:val="TableText"/>
              <w:rPr>
                <w:szCs w:val="20"/>
              </w:rPr>
            </w:pPr>
            <w:r>
              <w:rPr>
                <w:noProof/>
                <w:lang w:eastAsia="en-AU"/>
              </w:rPr>
              <mc:AlternateContent>
                <mc:Choice Requires="wps">
                  <w:drawing>
                    <wp:anchor distT="0" distB="0" distL="114300" distR="114300" simplePos="0" relativeHeight="251681792" behindDoc="0" locked="0" layoutInCell="1" allowOverlap="1" wp14:anchorId="005A4935" wp14:editId="1880A9FA">
                      <wp:simplePos x="0" y="0"/>
                      <wp:positionH relativeFrom="column">
                        <wp:posOffset>1799117</wp:posOffset>
                      </wp:positionH>
                      <wp:positionV relativeFrom="paragraph">
                        <wp:posOffset>1073150</wp:posOffset>
                      </wp:positionV>
                      <wp:extent cx="530475" cy="275553"/>
                      <wp:effectExtent l="57150" t="133350" r="41275" b="144145"/>
                      <wp:wrapNone/>
                      <wp:docPr id="12" name="Rectangle 12"/>
                      <wp:cNvGraphicFramePr/>
                      <a:graphic xmlns:a="http://schemas.openxmlformats.org/drawingml/2006/main">
                        <a:graphicData uri="http://schemas.microsoft.com/office/word/2010/wordprocessingShape">
                          <wps:wsp>
                            <wps:cNvSpPr/>
                            <wps:spPr>
                              <a:xfrm rot="19704016">
                                <a:off x="0" y="0"/>
                                <a:ext cx="530475" cy="27555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7DD7A5" id="Rectangle 12" o:spid="_x0000_s1026" style="position:absolute;margin-left:141.65pt;margin-top:84.5pt;width:41.75pt;height:21.7pt;rotation:-207092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" filled="f" strokecolor="red" strokeweight="1pt"/>
                  </w:pict>
                </mc:Fallback>
              </mc:AlternateContent>
            </w:r>
            <w:r w:rsidR="00642E23">
              <w:rPr>
                <w:noProof/>
                <w:lang w:eastAsia="en-AU"/>
              </w:rPr>
              <w:drawing>
                <wp:anchor distT="0" distB="0" distL="114300" distR="114300" simplePos="0" relativeHeight="251680768" behindDoc="0" locked="0" layoutInCell="1" allowOverlap="1" wp14:anchorId="0282F9C9" wp14:editId="0C716D33">
                  <wp:simplePos x="0" y="0"/>
                  <wp:positionH relativeFrom="column">
                    <wp:posOffset>121368</wp:posOffset>
                  </wp:positionH>
                  <wp:positionV relativeFrom="paragraph">
                    <wp:posOffset>72651</wp:posOffset>
                  </wp:positionV>
                  <wp:extent cx="809625" cy="609600"/>
                  <wp:effectExtent l="0" t="0" r="952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09625" cy="609600"/>
                          </a:xfrm>
                          <a:prstGeom prst="rect">
                            <a:avLst/>
                          </a:prstGeom>
                        </pic:spPr>
                      </pic:pic>
                    </a:graphicData>
                  </a:graphic>
                </wp:anchor>
              </w:drawing>
            </w:r>
            <w:r w:rsidR="00642E23">
              <w:rPr>
                <w:noProof/>
                <w:lang w:eastAsia="en-AU"/>
              </w:rPr>
              <w:drawing>
                <wp:inline distT="0" distB="0" distL="0" distR="0" wp14:anchorId="73FD1596" wp14:editId="4F31FEFF">
                  <wp:extent cx="4359910" cy="307022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59910" cy="3070225"/>
                          </a:xfrm>
                          <a:prstGeom prst="rect">
                            <a:avLst/>
                          </a:prstGeom>
                        </pic:spPr>
                      </pic:pic>
                    </a:graphicData>
                  </a:graphic>
                </wp:inline>
              </w:drawing>
            </w:r>
          </w:p>
          <w:p w14:paraId="58C71E38" w14:textId="77777777" w:rsidR="007E453C" w:rsidRDefault="00701B4C">
            <w:pPr>
              <w:pStyle w:val="TableText"/>
              <w:rPr>
                <w:szCs w:val="20"/>
              </w:rPr>
            </w:pPr>
            <w:r>
              <w:rPr>
                <w:szCs w:val="20"/>
              </w:rPr>
              <w:t>The proposed building has a maximum height of 32.97m</w:t>
            </w:r>
            <w:r w:rsidR="007E453C">
              <w:rPr>
                <w:szCs w:val="20"/>
              </w:rPr>
              <w:t xml:space="preserve"> and while this is only a minor encroachment on that part of the site with a 30m HOB limit, part of the building, at this height, is within the 25m HOB limit.  The exceedance here is 32%.</w:t>
            </w:r>
          </w:p>
          <w:p w14:paraId="702CFF11" w14:textId="77777777" w:rsidR="00701B4C" w:rsidRDefault="00701B4C">
            <w:pPr>
              <w:pStyle w:val="TableText"/>
              <w:rPr>
                <w:szCs w:val="20"/>
              </w:rPr>
            </w:pPr>
            <w:r>
              <w:rPr>
                <w:szCs w:val="20"/>
              </w:rPr>
              <w:t xml:space="preserve">The highest point of the building is the central services core. </w:t>
            </w:r>
          </w:p>
          <w:p w14:paraId="09421CCD" w14:textId="65EC381A" w:rsidR="00701B4C" w:rsidRDefault="00701B4C">
            <w:pPr>
              <w:pStyle w:val="TableText"/>
            </w:pPr>
            <w:r>
              <w:t>The proposal seeks justification to exceed the height limit using Clause 4.6 to vary the development standard which has been considered as part of this assessment.</w:t>
            </w:r>
            <w:r w:rsidR="00976EEC">
              <w:t xml:space="preserve"> </w:t>
            </w:r>
          </w:p>
          <w:p w14:paraId="48578E0F" w14:textId="77777777" w:rsidR="00701B4C" w:rsidRDefault="00701B4C">
            <w:pPr>
              <w:pStyle w:val="TableText"/>
              <w:rPr>
                <w:szCs w:val="20"/>
              </w:rPr>
            </w:pPr>
            <w:r>
              <w:rPr>
                <w:szCs w:val="20"/>
              </w:rPr>
              <w:t xml:space="preserve">The proposed building is intended to be a landmark building for the CBD and demonstrates a significantly taller structure than the surrounding development, despite the 25m and 30m height limit. </w:t>
            </w:r>
          </w:p>
          <w:p w14:paraId="61F1A805" w14:textId="77777777" w:rsidR="00701B4C" w:rsidRDefault="00701B4C">
            <w:pPr>
              <w:pStyle w:val="TableText"/>
              <w:rPr>
                <w:szCs w:val="20"/>
              </w:rPr>
            </w:pPr>
            <w:r>
              <w:rPr>
                <w:szCs w:val="20"/>
              </w:rPr>
              <w:t>The proposed 32.95m building is considered consistent with the Clause 4.3 objectives as follows:</w:t>
            </w:r>
          </w:p>
          <w:p w14:paraId="0EC7A81A" w14:textId="56EC05AA" w:rsidR="00701B4C" w:rsidRDefault="00701B4C" w:rsidP="0071072A">
            <w:pPr>
              <w:pStyle w:val="TableText"/>
              <w:numPr>
                <w:ilvl w:val="0"/>
                <w:numId w:val="23"/>
              </w:numPr>
              <w:rPr>
                <w:szCs w:val="20"/>
              </w:rPr>
            </w:pPr>
            <w:r>
              <w:rPr>
                <w:szCs w:val="20"/>
              </w:rPr>
              <w:t xml:space="preserve">The building design at street level complements the historical Crawford Street streetscape character, as discussed </w:t>
            </w:r>
            <w:r w:rsidR="0096185C">
              <w:rPr>
                <w:szCs w:val="20"/>
              </w:rPr>
              <w:t>in</w:t>
            </w:r>
            <w:r>
              <w:rPr>
                <w:szCs w:val="20"/>
              </w:rPr>
              <w:t xml:space="preserve"> Clause 5.10. The building is setback from Crawford Street and behind the building lines of the adjacent Heritage Items. </w:t>
            </w:r>
          </w:p>
          <w:p w14:paraId="1C88B095" w14:textId="246FB5BE" w:rsidR="00701B4C" w:rsidRDefault="00701B4C" w:rsidP="0071072A">
            <w:pPr>
              <w:pStyle w:val="TableText"/>
              <w:numPr>
                <w:ilvl w:val="0"/>
                <w:numId w:val="23"/>
              </w:numPr>
              <w:rPr>
                <w:szCs w:val="20"/>
              </w:rPr>
            </w:pPr>
            <w:r>
              <w:rPr>
                <w:szCs w:val="20"/>
              </w:rPr>
              <w:t xml:space="preserve">The building materials and urban realm improvements complement the adjacent Heritage Items, such as the Former School of Arts and Former Fire Station, as discussed </w:t>
            </w:r>
            <w:r w:rsidR="0096185C">
              <w:rPr>
                <w:szCs w:val="20"/>
              </w:rPr>
              <w:t>in</w:t>
            </w:r>
            <w:r>
              <w:rPr>
                <w:szCs w:val="20"/>
              </w:rPr>
              <w:t xml:space="preserve"> Clause 5.10. Building materials include brickwork similar to the surrounding buildings. The public forecourt and retention of the street trees serves to create a visual break between the ground level character elements and the contemporary structure on the upper levels. </w:t>
            </w:r>
          </w:p>
          <w:p w14:paraId="42EB1461" w14:textId="737A356F" w:rsidR="00701B4C" w:rsidRDefault="00701B4C" w:rsidP="0071072A">
            <w:pPr>
              <w:pStyle w:val="TableText"/>
              <w:numPr>
                <w:ilvl w:val="0"/>
                <w:numId w:val="23"/>
              </w:numPr>
              <w:rPr>
                <w:szCs w:val="20"/>
              </w:rPr>
            </w:pPr>
            <w:r>
              <w:rPr>
                <w:szCs w:val="20"/>
              </w:rPr>
              <w:t xml:space="preserve">The building transitions in bulk and scale as it rises to avoid dominating the subject site. </w:t>
            </w:r>
            <w:r w:rsidR="00006A17">
              <w:rPr>
                <w:szCs w:val="20"/>
              </w:rPr>
              <w:t>T</w:t>
            </w:r>
            <w:r>
              <w:rPr>
                <w:szCs w:val="20"/>
              </w:rPr>
              <w:t xml:space="preserve">he overall design appears as two buildings, a seven storey northern tower and a four storey southern </w:t>
            </w:r>
            <w:r>
              <w:rPr>
                <w:szCs w:val="20"/>
              </w:rPr>
              <w:lastRenderedPageBreak/>
              <w:t xml:space="preserve">tower, connected by a services core. The smaller southern tower is adjacent to two Heritage Items and reflects the lower density of the lower character of the southern end of Crawford Street. The taller northern tower creates an elegant structure that reflects its proximity to the Monaro Street and bulkier buildings of the Bicentennial Hall and The Q Theatre. </w:t>
            </w:r>
          </w:p>
        </w:tc>
        <w:tc>
          <w:tcPr>
            <w:tcW w:w="1445" w:type="dxa"/>
            <w:tcBorders>
              <w:top w:val="single" w:sz="4" w:space="0" w:color="4E4E50" w:themeColor="accent2"/>
              <w:left w:val="nil"/>
              <w:bottom w:val="single" w:sz="4" w:space="0" w:color="4E4E50" w:themeColor="accent2"/>
              <w:right w:val="nil"/>
            </w:tcBorders>
            <w:hideMark/>
          </w:tcPr>
          <w:p w14:paraId="4F799552" w14:textId="7B715B2F" w:rsidR="00701B4C" w:rsidRPr="0096185C" w:rsidRDefault="00976EEC">
            <w:pPr>
              <w:pStyle w:val="TableText"/>
              <w:rPr>
                <w:b/>
                <w:bCs/>
              </w:rPr>
            </w:pPr>
            <w:r>
              <w:rPr>
                <w:b/>
                <w:bCs/>
              </w:rPr>
              <w:lastRenderedPageBreak/>
              <w:t xml:space="preserve">Variation justified </w:t>
            </w:r>
            <w:r w:rsidR="00F90271">
              <w:rPr>
                <w:b/>
                <w:bCs/>
              </w:rPr>
              <w:t xml:space="preserve">under </w:t>
            </w:r>
            <w:r w:rsidR="00F90271">
              <w:rPr>
                <w:b/>
                <w:bCs/>
              </w:rPr>
              <w:lastRenderedPageBreak/>
              <w:t xml:space="preserve">Clause 4.6 variation </w:t>
            </w:r>
          </w:p>
        </w:tc>
      </w:tr>
      <w:tr w:rsidR="00701B4C" w14:paraId="3FD7A83D" w14:textId="77777777" w:rsidTr="004D606B">
        <w:tc>
          <w:tcPr>
            <w:tcW w:w="1781" w:type="dxa"/>
            <w:tcBorders>
              <w:top w:val="single" w:sz="4" w:space="0" w:color="4E4E50" w:themeColor="accent2"/>
              <w:left w:val="nil"/>
              <w:bottom w:val="single" w:sz="4" w:space="0" w:color="4E4E50" w:themeColor="accent2"/>
              <w:right w:val="nil"/>
            </w:tcBorders>
            <w:hideMark/>
          </w:tcPr>
          <w:p w14:paraId="016E777E" w14:textId="77777777" w:rsidR="00701B4C" w:rsidRDefault="00701B4C">
            <w:pPr>
              <w:pStyle w:val="TableText"/>
            </w:pPr>
            <w:r>
              <w:lastRenderedPageBreak/>
              <w:t>Clause 4.4 Floor Space Ratio</w:t>
            </w:r>
          </w:p>
        </w:tc>
        <w:tc>
          <w:tcPr>
            <w:tcW w:w="6866" w:type="dxa"/>
            <w:tcBorders>
              <w:top w:val="single" w:sz="4" w:space="0" w:color="4E4E50" w:themeColor="accent2"/>
              <w:left w:val="nil"/>
              <w:bottom w:val="single" w:sz="4" w:space="0" w:color="4E4E50" w:themeColor="accent2"/>
              <w:right w:val="nil"/>
            </w:tcBorders>
            <w:hideMark/>
          </w:tcPr>
          <w:p w14:paraId="05EADEF0" w14:textId="53AA5F2C" w:rsidR="00701B4C" w:rsidRDefault="00701B4C">
            <w:pPr>
              <w:pStyle w:val="TableText"/>
              <w:rPr>
                <w:szCs w:val="20"/>
              </w:rPr>
            </w:pPr>
            <w:r>
              <w:rPr>
                <w:szCs w:val="20"/>
              </w:rPr>
              <w:t>The subject site has a maximum Floor Space Ratio</w:t>
            </w:r>
            <w:r w:rsidR="0096185C">
              <w:rPr>
                <w:szCs w:val="20"/>
              </w:rPr>
              <w:t xml:space="preserve"> (FSR)</w:t>
            </w:r>
            <w:r>
              <w:rPr>
                <w:szCs w:val="20"/>
              </w:rPr>
              <w:t xml:space="preserve"> of 3:1 in accordance with Clause 4.4 and the </w:t>
            </w:r>
            <w:r w:rsidR="0096185C">
              <w:rPr>
                <w:szCs w:val="20"/>
              </w:rPr>
              <w:t>FSR</w:t>
            </w:r>
            <w:r>
              <w:rPr>
                <w:szCs w:val="20"/>
              </w:rPr>
              <w:t xml:space="preserve"> map.</w:t>
            </w:r>
          </w:p>
          <w:p w14:paraId="1E775F94" w14:textId="71F29427" w:rsidR="00701B4C" w:rsidRDefault="00701B4C">
            <w:pPr>
              <w:pStyle w:val="TableText"/>
              <w:rPr>
                <w:szCs w:val="20"/>
              </w:rPr>
            </w:pPr>
            <w:r>
              <w:rPr>
                <w:szCs w:val="20"/>
              </w:rPr>
              <w:t xml:space="preserve">The subject site includes several lots that will be partially redeveloped as part of the construction of the proposed building. As a result, </w:t>
            </w:r>
            <w:r w:rsidR="001633AF">
              <w:rPr>
                <w:szCs w:val="20"/>
              </w:rPr>
              <w:t>it is difficult to determine a precise area from which to calculate the FSR. T</w:t>
            </w:r>
            <w:r>
              <w:rPr>
                <w:szCs w:val="20"/>
              </w:rPr>
              <w:t>he proponent has based the lot area on the proposed Subdivision Plan (DA-10-02), which creates a consolidated lot (Lot A) with a total area of 13,748m</w:t>
            </w:r>
            <w:r>
              <w:rPr>
                <w:szCs w:val="20"/>
                <w:vertAlign w:val="superscript"/>
              </w:rPr>
              <w:t>2</w:t>
            </w:r>
            <w:r>
              <w:rPr>
                <w:szCs w:val="20"/>
              </w:rPr>
              <w:t xml:space="preserve">. </w:t>
            </w:r>
            <w:r w:rsidR="00355606">
              <w:rPr>
                <w:szCs w:val="20"/>
              </w:rPr>
              <w:t>This lot area was used to calculate the FSR.</w:t>
            </w:r>
          </w:p>
          <w:p w14:paraId="649A6D30" w14:textId="3A027812" w:rsidR="00701B4C" w:rsidRDefault="00701B4C">
            <w:pPr>
              <w:pStyle w:val="TableText"/>
              <w:rPr>
                <w:szCs w:val="20"/>
              </w:rPr>
            </w:pPr>
            <w:r>
              <w:rPr>
                <w:szCs w:val="20"/>
              </w:rPr>
              <w:t>The GFA Schedules plan (DA-90-01</w:t>
            </w:r>
            <w:r w:rsidR="00856D04">
              <w:rPr>
                <w:szCs w:val="20"/>
              </w:rPr>
              <w:t xml:space="preserve"> Rev.7</w:t>
            </w:r>
            <w:r>
              <w:rPr>
                <w:szCs w:val="20"/>
              </w:rPr>
              <w:t xml:space="preserve">) states a total GFA of </w:t>
            </w:r>
            <w:r w:rsidR="00CA6C39">
              <w:rPr>
                <w:szCs w:val="20"/>
              </w:rPr>
              <w:t>8,466</w:t>
            </w:r>
            <w:r>
              <w:rPr>
                <w:szCs w:val="20"/>
              </w:rPr>
              <w:t>m</w:t>
            </w:r>
            <w:r>
              <w:rPr>
                <w:szCs w:val="20"/>
                <w:vertAlign w:val="superscript"/>
              </w:rPr>
              <w:t>2</w:t>
            </w:r>
            <w:r>
              <w:rPr>
                <w:szCs w:val="20"/>
              </w:rPr>
              <w:t xml:space="preserve">. </w:t>
            </w:r>
            <w:r w:rsidR="001633AF">
              <w:rPr>
                <w:szCs w:val="20"/>
              </w:rPr>
              <w:t xml:space="preserve">Based on the </w:t>
            </w:r>
            <w:r w:rsidR="00355606">
              <w:rPr>
                <w:szCs w:val="20"/>
              </w:rPr>
              <w:t>lot</w:t>
            </w:r>
            <w:r w:rsidR="001633AF">
              <w:rPr>
                <w:szCs w:val="20"/>
              </w:rPr>
              <w:t xml:space="preserve"> area of </w:t>
            </w:r>
            <w:r w:rsidR="003254D7">
              <w:rPr>
                <w:szCs w:val="20"/>
              </w:rPr>
              <w:t>13,748m</w:t>
            </w:r>
            <w:r w:rsidR="003254D7" w:rsidRPr="003254D7">
              <w:rPr>
                <w:szCs w:val="20"/>
                <w:vertAlign w:val="superscript"/>
              </w:rPr>
              <w:t>2</w:t>
            </w:r>
            <w:r w:rsidR="003254D7">
              <w:rPr>
                <w:szCs w:val="20"/>
              </w:rPr>
              <w:t>, the proposed development has</w:t>
            </w:r>
            <w:r>
              <w:rPr>
                <w:szCs w:val="20"/>
              </w:rPr>
              <w:t xml:space="preserve"> a total FSR of 0.6</w:t>
            </w:r>
            <w:r w:rsidR="00CA6C39">
              <w:rPr>
                <w:szCs w:val="20"/>
              </w:rPr>
              <w:t>2</w:t>
            </w:r>
            <w:r>
              <w:rPr>
                <w:szCs w:val="20"/>
              </w:rPr>
              <w:t>:1 which is acceptable under Clause 4.4.</w:t>
            </w:r>
          </w:p>
          <w:p w14:paraId="135BC2BD" w14:textId="5408E178" w:rsidR="00701B4C" w:rsidRDefault="00701B4C">
            <w:pPr>
              <w:pStyle w:val="TableText"/>
            </w:pPr>
            <w:r>
              <w:rPr>
                <w:szCs w:val="20"/>
              </w:rPr>
              <w:t>It is noted that the SEE states a FSR of 0.798:1 (10,004m²) based on a site area of 12,533m², however these figures do not relate to the Subdivision Plan or GFA Schedules.</w:t>
            </w:r>
            <w:r w:rsidR="00355606">
              <w:rPr>
                <w:szCs w:val="20"/>
              </w:rPr>
              <w:t xml:space="preserve"> The area on the Subdivision Plan prevailed for the purpose of calculations. </w:t>
            </w:r>
            <w:r>
              <w:rPr>
                <w:szCs w:val="20"/>
              </w:rPr>
              <w:t xml:space="preserve"> </w:t>
            </w:r>
          </w:p>
        </w:tc>
        <w:tc>
          <w:tcPr>
            <w:tcW w:w="1445" w:type="dxa"/>
            <w:tcBorders>
              <w:top w:val="single" w:sz="4" w:space="0" w:color="4E4E50" w:themeColor="accent2"/>
              <w:left w:val="nil"/>
              <w:bottom w:val="single" w:sz="4" w:space="0" w:color="4E4E50" w:themeColor="accent2"/>
              <w:right w:val="nil"/>
            </w:tcBorders>
            <w:hideMark/>
          </w:tcPr>
          <w:p w14:paraId="424A84DB" w14:textId="77777777" w:rsidR="00701B4C" w:rsidRPr="00E6415F" w:rsidRDefault="00701B4C">
            <w:pPr>
              <w:pStyle w:val="TableText"/>
              <w:rPr>
                <w:b/>
                <w:bCs/>
              </w:rPr>
            </w:pPr>
            <w:r w:rsidRPr="00E6415F">
              <w:rPr>
                <w:b/>
                <w:bCs/>
              </w:rPr>
              <w:t>Complies</w:t>
            </w:r>
          </w:p>
        </w:tc>
      </w:tr>
      <w:tr w:rsidR="00701B4C" w14:paraId="482921FF" w14:textId="77777777" w:rsidTr="004D606B">
        <w:tc>
          <w:tcPr>
            <w:tcW w:w="1781" w:type="dxa"/>
            <w:tcBorders>
              <w:top w:val="single" w:sz="4" w:space="0" w:color="4E4E50" w:themeColor="accent2"/>
              <w:left w:val="nil"/>
              <w:bottom w:val="single" w:sz="4" w:space="0" w:color="4E4E50" w:themeColor="accent2"/>
              <w:right w:val="nil"/>
            </w:tcBorders>
            <w:hideMark/>
          </w:tcPr>
          <w:p w14:paraId="4F5E0E77" w14:textId="77777777" w:rsidR="00701B4C" w:rsidRDefault="00701B4C">
            <w:pPr>
              <w:pStyle w:val="TableText"/>
            </w:pPr>
            <w:r>
              <w:t xml:space="preserve">Clause 4.6 Exceptions to Development Standards </w:t>
            </w:r>
          </w:p>
        </w:tc>
        <w:tc>
          <w:tcPr>
            <w:tcW w:w="6866" w:type="dxa"/>
            <w:tcBorders>
              <w:top w:val="single" w:sz="4" w:space="0" w:color="4E4E50" w:themeColor="accent2"/>
              <w:left w:val="nil"/>
              <w:bottom w:val="single" w:sz="4" w:space="0" w:color="4E4E50" w:themeColor="accent2"/>
              <w:right w:val="nil"/>
            </w:tcBorders>
            <w:hideMark/>
          </w:tcPr>
          <w:p w14:paraId="665DD10E" w14:textId="1C3D9157" w:rsidR="00701B4C" w:rsidRDefault="00701B4C">
            <w:pPr>
              <w:pStyle w:val="TableText"/>
            </w:pPr>
            <w:r>
              <w:rPr>
                <w:szCs w:val="20"/>
              </w:rPr>
              <w:t xml:space="preserve">As noted in Clause 4.3, the proposed development exceeds the maximum height. </w:t>
            </w:r>
            <w:r>
              <w:t xml:space="preserve">The proposal seeks </w:t>
            </w:r>
            <w:r w:rsidR="00E6415F">
              <w:t>to justify an exceedance to the maximum</w:t>
            </w:r>
            <w:r>
              <w:t xml:space="preserve"> height limit using Clause 4.6 to vary the development standard.</w:t>
            </w:r>
          </w:p>
          <w:p w14:paraId="00FD8AC2" w14:textId="67DBF318" w:rsidR="00B62BBC" w:rsidRDefault="00B62BBC">
            <w:pPr>
              <w:pStyle w:val="TableText"/>
            </w:pPr>
            <w:r>
              <w:t>Under clause 4.6, the applicant is required to make a written request to vary the development standard which was received with the DA.</w:t>
            </w:r>
          </w:p>
          <w:p w14:paraId="3E62C083" w14:textId="77777777" w:rsidR="00701B4C" w:rsidRDefault="00701B4C">
            <w:pPr>
              <w:pStyle w:val="TableText"/>
              <w:rPr>
                <w:szCs w:val="20"/>
              </w:rPr>
            </w:pPr>
            <w:r>
              <w:rPr>
                <w:szCs w:val="20"/>
              </w:rPr>
              <w:t>In accordance with Clause 4.6(1)(b), the proponent has demonstrated the proposed variation to building height creates a better outcome for the building. The overall scale and balance of the building would be diminished if it were to comply with the height limits. This is particularly relevant to the 25m height limit, which would result in a staggered building height that would not effectively achieve the overall landmark building design intention. In essence, it would not be as visually interesting if the proposed building were to comply with the height controls as per Clause 4.3.</w:t>
            </w:r>
          </w:p>
          <w:p w14:paraId="6D804564" w14:textId="12B73805" w:rsidR="00701B4C" w:rsidRDefault="00701B4C">
            <w:pPr>
              <w:pStyle w:val="TableText"/>
            </w:pPr>
            <w:r>
              <w:t xml:space="preserve">The Clause 4.6 Variation Request has been </w:t>
            </w:r>
            <w:r w:rsidR="00E6415F">
              <w:t>addressed (3)(a)</w:t>
            </w:r>
            <w:r>
              <w:t xml:space="preserve"> and the proposal has demonstrated that </w:t>
            </w:r>
            <w:r w:rsidR="00D603E8">
              <w:t xml:space="preserve">it </w:t>
            </w:r>
            <w:r>
              <w:t xml:space="preserve">is unreasonable or unnecessary to comply with the standard given the circumstance. It incorporated the relevant principles identified in </w:t>
            </w:r>
            <w:r w:rsidR="00E6415F">
              <w:t>LEC</w:t>
            </w:r>
            <w:r>
              <w:t xml:space="preserve"> judgements, notably </w:t>
            </w:r>
            <w:proofErr w:type="spellStart"/>
            <w:r>
              <w:t>Whebe</w:t>
            </w:r>
            <w:proofErr w:type="spellEnd"/>
            <w:r>
              <w:t xml:space="preserve"> v Pittwater Council [2007] NSW LEC 827, which established the following tests for ‘unreasonable or unnecessary’ development standards:</w:t>
            </w:r>
          </w:p>
          <w:p w14:paraId="6CF30B6E" w14:textId="77777777" w:rsidR="00701B4C" w:rsidRDefault="00701B4C" w:rsidP="0071072A">
            <w:pPr>
              <w:pStyle w:val="TableNumber"/>
              <w:numPr>
                <w:ilvl w:val="0"/>
                <w:numId w:val="22"/>
              </w:numPr>
            </w:pPr>
            <w:r>
              <w:t xml:space="preserve">The objectives of the standard are achieved notwithstanding the non-compliance with the standard; </w:t>
            </w:r>
          </w:p>
          <w:p w14:paraId="430A6FC6" w14:textId="77777777" w:rsidR="00701B4C" w:rsidRDefault="00701B4C" w:rsidP="0071072A">
            <w:pPr>
              <w:pStyle w:val="TableNumber"/>
              <w:numPr>
                <w:ilvl w:val="0"/>
                <w:numId w:val="22"/>
              </w:numPr>
            </w:pPr>
            <w:r>
              <w:t xml:space="preserve">The underlying objective or purpose of the standard is not relevant to the development and therefore compliance is unnecessary; </w:t>
            </w:r>
          </w:p>
          <w:p w14:paraId="026EDFAB" w14:textId="77777777" w:rsidR="00701B4C" w:rsidRDefault="00701B4C" w:rsidP="0071072A">
            <w:pPr>
              <w:pStyle w:val="TableNumber"/>
              <w:numPr>
                <w:ilvl w:val="0"/>
                <w:numId w:val="22"/>
              </w:numPr>
            </w:pPr>
            <w:r>
              <w:t xml:space="preserve">The underlying object or purpose would be defeated or thwarted if compliance was required and therefore compliance is unreasonable; </w:t>
            </w:r>
          </w:p>
          <w:p w14:paraId="72874356" w14:textId="77777777" w:rsidR="00701B4C" w:rsidRDefault="00701B4C" w:rsidP="0071072A">
            <w:pPr>
              <w:pStyle w:val="TableNumber"/>
              <w:numPr>
                <w:ilvl w:val="0"/>
                <w:numId w:val="22"/>
              </w:numPr>
            </w:pPr>
            <w:r>
              <w:t xml:space="preserve">The development standard has been virtually abandoned or destroyed by the Council’s own actions in granting consents departing form the standard and hence compliance with the standard is unnecessary and unreasonable; </w:t>
            </w:r>
          </w:p>
          <w:p w14:paraId="4A2F3E7E" w14:textId="77777777" w:rsidR="00701B4C" w:rsidRDefault="00701B4C" w:rsidP="0071072A">
            <w:pPr>
              <w:pStyle w:val="TableNumber"/>
              <w:numPr>
                <w:ilvl w:val="0"/>
                <w:numId w:val="22"/>
              </w:numPr>
            </w:pPr>
            <w:r>
              <w:lastRenderedPageBreak/>
              <w:t xml:space="preserve">The zoning of the particular land is unreasonable or inappropriate so that a development standard appropriate for that zoning is also unreasonable and unnecessary as it applies to the land and compliance with the standard would be unreasonable and unnecessary. That is, the particular parcel of land should not have been included in the particular zone. </w:t>
            </w:r>
          </w:p>
          <w:p w14:paraId="117D491C" w14:textId="49F996D1" w:rsidR="00701B4C" w:rsidRDefault="00701B4C">
            <w:pPr>
              <w:pStyle w:val="TableText"/>
            </w:pPr>
            <w:r>
              <w:t>The assessment against Clause 4.3 demonstrates the proposal has met the objective of the clause, as per Test 1.</w:t>
            </w:r>
          </w:p>
          <w:p w14:paraId="0E6A68C7" w14:textId="77777777" w:rsidR="00701B4C" w:rsidRDefault="00701B4C">
            <w:pPr>
              <w:pStyle w:val="TableText"/>
              <w:rPr>
                <w:szCs w:val="20"/>
              </w:rPr>
            </w:pPr>
            <w:r>
              <w:rPr>
                <w:szCs w:val="20"/>
              </w:rPr>
              <w:t>Similarly, for Test 2, the proposal has demonstrated that the objectives of Clause 4.3 are met, and compliance with the height control is unnecessary and/or unreasonable in this circumstance. The intent of achieving a consistent height limit with the surrounding area is not relevant as the surrounding development has not yet taken advantage of the height limits, or are Heritage Items that will not be redeveloped to realise additional height.</w:t>
            </w:r>
          </w:p>
          <w:p w14:paraId="23425736" w14:textId="77777777" w:rsidR="00701B4C" w:rsidRDefault="00701B4C">
            <w:pPr>
              <w:pStyle w:val="TableText"/>
            </w:pPr>
            <w:r>
              <w:t xml:space="preserve">The Clause 4.6 Variation Request has been addressed (3)(b) and the proposal has demonstrated that there are sufficient environmental planning grounds to justify contravening the development standard. The visual impact of the building height has been considered in the context of the surrounding Heritage Items. The proposed ground floor and mezzanine design has consciously reduced the size of the building footprint compared the upper floors to enable greater provision of public space and separation between surrounding buildings. The overall building design includes visually separate elements of the two towers and central core to give the appearance of multiple buildings to reduce the overall scale and bulk of the development. Further, the solar diagrams demonstrate that the additional building height does not create unreasonable overshadowing to new public spaces, such as the proposed public plaza at the rear of the building. </w:t>
            </w:r>
          </w:p>
          <w:p w14:paraId="43187FF1" w14:textId="644A47CC" w:rsidR="009A22AE" w:rsidRPr="009A22AE" w:rsidRDefault="00701B4C" w:rsidP="00D603E8">
            <w:pPr>
              <w:pStyle w:val="TableText"/>
            </w:pPr>
            <w:r>
              <w:t>The Clause 4.6 Variation Request is considered to have sufficiently addressed (4)(a). The argument presented in the Variation Request is accepted, and, based on the above discussion, the proposal has demonstrated that the building height exceedance is in the public interest. The proposed building seeks to become a landmark of the Queanbeyan CBD and will serve as the city’s main public administration building. It is consistent with the overall character of the Queanbeyan CBD, and provides an example for future activation of redevelopment sites. The proposal meets the intent of the subject site as per the CBD Master Plan. It will contribute to a broader civic precinct that incorporate</w:t>
            </w:r>
            <w:r w:rsidR="00D603E8">
              <w:t>s</w:t>
            </w:r>
            <w:r>
              <w:t xml:space="preserve"> public spaces, social services, entertainment and recreation. </w:t>
            </w:r>
          </w:p>
        </w:tc>
        <w:tc>
          <w:tcPr>
            <w:tcW w:w="1445" w:type="dxa"/>
            <w:tcBorders>
              <w:top w:val="single" w:sz="4" w:space="0" w:color="4E4E50" w:themeColor="accent2"/>
              <w:left w:val="nil"/>
              <w:bottom w:val="single" w:sz="4" w:space="0" w:color="4E4E50" w:themeColor="accent2"/>
              <w:right w:val="nil"/>
            </w:tcBorders>
          </w:tcPr>
          <w:p w14:paraId="1DF12BC7" w14:textId="3AAEA55C" w:rsidR="00F25156" w:rsidRPr="00E6415F" w:rsidRDefault="00E6415F">
            <w:pPr>
              <w:pStyle w:val="TableText"/>
              <w:rPr>
                <w:b/>
                <w:bCs/>
              </w:rPr>
            </w:pPr>
            <w:r w:rsidRPr="00E6415F">
              <w:rPr>
                <w:b/>
                <w:bCs/>
              </w:rPr>
              <w:lastRenderedPageBreak/>
              <w:t>Complies</w:t>
            </w:r>
          </w:p>
        </w:tc>
      </w:tr>
      <w:tr w:rsidR="00701B4C" w14:paraId="3D9A78DB" w14:textId="77777777" w:rsidTr="004D606B">
        <w:tc>
          <w:tcPr>
            <w:tcW w:w="1781" w:type="dxa"/>
            <w:tcBorders>
              <w:top w:val="single" w:sz="4" w:space="0" w:color="4E4E50" w:themeColor="accent2"/>
              <w:left w:val="nil"/>
              <w:bottom w:val="single" w:sz="4" w:space="0" w:color="4E4E50" w:themeColor="accent2"/>
              <w:right w:val="nil"/>
            </w:tcBorders>
            <w:hideMark/>
          </w:tcPr>
          <w:p w14:paraId="6D0A1005" w14:textId="77777777" w:rsidR="00701B4C" w:rsidRDefault="00701B4C">
            <w:pPr>
              <w:pStyle w:val="TableText"/>
            </w:pPr>
            <w:r>
              <w:t>Clause 5.10 Heritage Conservation</w:t>
            </w:r>
          </w:p>
        </w:tc>
        <w:tc>
          <w:tcPr>
            <w:tcW w:w="6866" w:type="dxa"/>
            <w:tcBorders>
              <w:top w:val="single" w:sz="4" w:space="0" w:color="4E4E50" w:themeColor="accent2"/>
              <w:left w:val="nil"/>
              <w:bottom w:val="single" w:sz="4" w:space="0" w:color="4E4E50" w:themeColor="accent2"/>
              <w:right w:val="nil"/>
            </w:tcBorders>
            <w:hideMark/>
          </w:tcPr>
          <w:p w14:paraId="740C43F1" w14:textId="1663E2B4" w:rsidR="00701B4C" w:rsidRDefault="00701B4C">
            <w:pPr>
              <w:pStyle w:val="TableText"/>
            </w:pPr>
            <w:r>
              <w:t>The Site is adjacent to three H</w:t>
            </w:r>
            <w:r w:rsidR="00505C74">
              <w:t xml:space="preserve">eritage Items, all of which </w:t>
            </w:r>
            <w:r>
              <w:t xml:space="preserve">front Crawford Street: </w:t>
            </w:r>
          </w:p>
          <w:p w14:paraId="159775E1" w14:textId="77777777" w:rsidR="00701B4C" w:rsidRDefault="00701B4C" w:rsidP="0071072A">
            <w:pPr>
              <w:pStyle w:val="TableBullet"/>
              <w:numPr>
                <w:ilvl w:val="0"/>
                <w:numId w:val="21"/>
              </w:numPr>
              <w:rPr>
                <w:lang w:eastAsia="en-US"/>
              </w:rPr>
            </w:pPr>
            <w:r>
              <w:rPr>
                <w:lang w:eastAsia="en-US"/>
              </w:rPr>
              <w:t>Former School of Arts building (Item I47)</w:t>
            </w:r>
          </w:p>
          <w:p w14:paraId="6E91FFFE" w14:textId="7DA3DD3E" w:rsidR="00701B4C" w:rsidRDefault="00701B4C" w:rsidP="0071072A">
            <w:pPr>
              <w:pStyle w:val="TableBullet"/>
              <w:numPr>
                <w:ilvl w:val="0"/>
                <w:numId w:val="21"/>
              </w:numPr>
              <w:rPr>
                <w:lang w:eastAsia="en-US"/>
              </w:rPr>
            </w:pPr>
            <w:r>
              <w:rPr>
                <w:lang w:eastAsia="en-US"/>
              </w:rPr>
              <w:t>Former fire station, a historical building with frontage to Crawford Street (Item I50)</w:t>
            </w:r>
            <w:r w:rsidR="00355606">
              <w:rPr>
                <w:lang w:eastAsia="en-US"/>
              </w:rPr>
              <w:t xml:space="preserve"> – see </w:t>
            </w:r>
            <w:r w:rsidR="00355606">
              <w:rPr>
                <w:lang w:eastAsia="en-US"/>
              </w:rPr>
              <w:fldChar w:fldCharType="begin"/>
            </w:r>
            <w:r w:rsidR="00355606">
              <w:rPr>
                <w:lang w:eastAsia="en-US"/>
              </w:rPr>
              <w:instrText xml:space="preserve"> REF _Ref40944608 \h </w:instrText>
            </w:r>
            <w:r w:rsidR="00355606">
              <w:rPr>
                <w:lang w:eastAsia="en-US"/>
              </w:rPr>
            </w:r>
            <w:r w:rsidR="00355606">
              <w:rPr>
                <w:lang w:eastAsia="en-US"/>
              </w:rPr>
              <w:fldChar w:fldCharType="separate"/>
            </w:r>
            <w:r w:rsidR="008F4696" w:rsidRPr="00782F75">
              <w:t xml:space="preserve">Figure </w:t>
            </w:r>
            <w:r w:rsidR="008F4696">
              <w:rPr>
                <w:noProof/>
              </w:rPr>
              <w:t>7</w:t>
            </w:r>
            <w:r w:rsidR="00355606">
              <w:rPr>
                <w:lang w:eastAsia="en-US"/>
              </w:rPr>
              <w:fldChar w:fldCharType="end"/>
            </w:r>
          </w:p>
          <w:p w14:paraId="7216A982" w14:textId="77777777" w:rsidR="00701B4C" w:rsidRDefault="00701B4C" w:rsidP="0071072A">
            <w:pPr>
              <w:pStyle w:val="TableBullet"/>
              <w:numPr>
                <w:ilvl w:val="0"/>
                <w:numId w:val="21"/>
              </w:numPr>
              <w:rPr>
                <w:lang w:eastAsia="en-US"/>
              </w:rPr>
            </w:pPr>
            <w:r>
              <w:rPr>
                <w:lang w:eastAsia="en-US"/>
              </w:rPr>
              <w:t>Dutton’s Cottage, a historical building with frontage to Crawford Street (Item I51)</w:t>
            </w:r>
          </w:p>
          <w:p w14:paraId="6A71D257" w14:textId="1D1E0D41" w:rsidR="00701B4C" w:rsidRDefault="00355606">
            <w:pPr>
              <w:pStyle w:val="TableText"/>
            </w:pPr>
            <w:r>
              <w:t xml:space="preserve">The proposed development successfully integrates architectural styles that respect the surrounding heritage items at ground level whilst also achieving a contemporary style for the upper floors, with glazed facades and off-form concrete, as well as metal trim and louvres. </w:t>
            </w:r>
            <w:r w:rsidR="00701B4C">
              <w:t>The overall</w:t>
            </w:r>
            <w:r w:rsidR="004523B1">
              <w:t xml:space="preserve"> design</w:t>
            </w:r>
            <w:r w:rsidR="00701B4C">
              <w:t xml:space="preserve"> merit of the building is acknowledged, and it is considered to provide a high-quality built form outcome. The prominent nature of the building, both in terms of height and design, is considered appropriate for </w:t>
            </w:r>
            <w:r w:rsidR="00701B4C">
              <w:lastRenderedPageBreak/>
              <w:t xml:space="preserve">its purpose as a public administration building, and will provide a positive contribution to the </w:t>
            </w:r>
            <w:r w:rsidR="004523B1">
              <w:t>re</w:t>
            </w:r>
            <w:r w:rsidR="00701B4C">
              <w:t xml:space="preserve">development of the CBD in association with the public plaza. </w:t>
            </w:r>
          </w:p>
          <w:p w14:paraId="08003115" w14:textId="6CB3EB1E" w:rsidR="00355606" w:rsidRPr="00782F75" w:rsidRDefault="00355606" w:rsidP="002F55A8">
            <w:pPr>
              <w:pStyle w:val="Caption"/>
            </w:pPr>
            <w:bookmarkStart w:id="34" w:name="_Ref40944608"/>
            <w:bookmarkStart w:id="35" w:name="_Toc48230340"/>
            <w:r w:rsidRPr="00782F75">
              <w:t xml:space="preserve">Figure </w:t>
            </w:r>
            <w:r>
              <w:rPr>
                <w:noProof/>
              </w:rPr>
              <w:fldChar w:fldCharType="begin"/>
            </w:r>
            <w:r>
              <w:rPr>
                <w:noProof/>
              </w:rPr>
              <w:instrText xml:space="preserve"> SEQ Figure \* ARABIC </w:instrText>
            </w:r>
            <w:r>
              <w:rPr>
                <w:noProof/>
              </w:rPr>
              <w:fldChar w:fldCharType="separate"/>
            </w:r>
            <w:r w:rsidR="008F4696">
              <w:rPr>
                <w:noProof/>
              </w:rPr>
              <w:t>7</w:t>
            </w:r>
            <w:r>
              <w:rPr>
                <w:noProof/>
              </w:rPr>
              <w:fldChar w:fldCharType="end"/>
            </w:r>
            <w:bookmarkEnd w:id="34"/>
            <w:r>
              <w:tab/>
              <w:t>Former fire station</w:t>
            </w:r>
            <w:bookmarkEnd w:id="35"/>
            <w:r>
              <w:t xml:space="preserve"> </w:t>
            </w:r>
          </w:p>
          <w:p w14:paraId="0A679639" w14:textId="247AFAF2" w:rsidR="00355606" w:rsidRPr="00800FD3" w:rsidRDefault="00355606" w:rsidP="002F55A8">
            <w:pPr>
              <w:pStyle w:val="FigureStyle"/>
            </w:pPr>
            <w:r>
              <w:rPr>
                <w:noProof/>
              </w:rPr>
              <w:drawing>
                <wp:inline distT="0" distB="0" distL="0" distR="0" wp14:anchorId="1020E717" wp14:editId="594E1B52">
                  <wp:extent cx="3051544" cy="204171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56360" cy="2044935"/>
                          </a:xfrm>
                          <a:prstGeom prst="rect">
                            <a:avLst/>
                          </a:prstGeom>
                          <a:noFill/>
                          <a:ln>
                            <a:noFill/>
                          </a:ln>
                        </pic:spPr>
                      </pic:pic>
                    </a:graphicData>
                  </a:graphic>
                </wp:inline>
              </w:drawing>
            </w:r>
          </w:p>
          <w:p w14:paraId="2B9F4606" w14:textId="77777777" w:rsidR="00701B4C" w:rsidRDefault="00701B4C">
            <w:pPr>
              <w:pStyle w:val="TableText"/>
            </w:pPr>
            <w:r>
              <w:t>At the ground level, the proposed building attempts to achieve a pedestrian scale in terms of materials, setback and overall building form. The ground floor and mezzanine level feature external brickwork to tie in with adjacent heritage items. The building entrance on Crawford Street is setback from the building line of the adjacent heritage items to provide a public forecourt which retains street trees and provides relief for the height of the upper floors. The overall visual impact on adjacent Heritage Items is considered acceptable.</w:t>
            </w:r>
          </w:p>
          <w:p w14:paraId="184E15AB" w14:textId="67B58207" w:rsidR="00701B4C" w:rsidRDefault="00701B4C">
            <w:pPr>
              <w:pStyle w:val="TableText"/>
            </w:pPr>
            <w:r>
              <w:t>The proposed Subdivision Plan seeks to consolidate several lots to create a large lot that will contain the Former School of Arts, Bicentennial Hall, Q Theatre, Lowe Street Car Park and the subject proposed building and public plaza. A second consolidation will occur which includes the Former Fire Station,</w:t>
            </w:r>
            <w:r w:rsidR="00391634">
              <w:t xml:space="preserve"> </w:t>
            </w:r>
            <w:proofErr w:type="spellStart"/>
            <w:r w:rsidR="00391634">
              <w:t>Duttons</w:t>
            </w:r>
            <w:proofErr w:type="spellEnd"/>
            <w:r w:rsidR="00391634">
              <w:t xml:space="preserve"> Cottage</w:t>
            </w:r>
            <w:r>
              <w:t xml:space="preserve"> and creates a lot taking in the corner of Crawford and Rutledge Streets.</w:t>
            </w:r>
          </w:p>
          <w:p w14:paraId="06A21186" w14:textId="77777777" w:rsidR="00701B4C" w:rsidRDefault="00701B4C">
            <w:pPr>
              <w:pStyle w:val="TableText"/>
            </w:pPr>
            <w:r>
              <w:t xml:space="preserve">The proposed consolidated lot containing the proposed building has a frontage to Crawford Street that occupies approximately half the length of the street. Despite this, individual buildings are broken up by laneways to create legibility and human scale. The overall impact of the proposed subdivision on the adjacent Heritage Items is considered acceptable. </w:t>
            </w:r>
          </w:p>
          <w:p w14:paraId="1286F156" w14:textId="1C55754E" w:rsidR="00355606" w:rsidRDefault="00701B4C" w:rsidP="00355606">
            <w:pPr>
              <w:pStyle w:val="TableText"/>
            </w:pPr>
            <w:r>
              <w:t xml:space="preserve">It is noted that the proposal includes a Statement of Heritage Impact which was generally accepted by the Heritage Committee, subject to conditions which have been considered as part of this assessment.  </w:t>
            </w:r>
          </w:p>
        </w:tc>
        <w:tc>
          <w:tcPr>
            <w:tcW w:w="1445" w:type="dxa"/>
            <w:tcBorders>
              <w:top w:val="single" w:sz="4" w:space="0" w:color="4E4E50" w:themeColor="accent2"/>
              <w:left w:val="nil"/>
              <w:bottom w:val="single" w:sz="4" w:space="0" w:color="4E4E50" w:themeColor="accent2"/>
              <w:right w:val="nil"/>
            </w:tcBorders>
            <w:hideMark/>
          </w:tcPr>
          <w:p w14:paraId="5DE537CC" w14:textId="77777777" w:rsidR="00701B4C" w:rsidRPr="00E6415F" w:rsidRDefault="00701B4C">
            <w:pPr>
              <w:pStyle w:val="TableText"/>
              <w:rPr>
                <w:b/>
                <w:bCs/>
              </w:rPr>
            </w:pPr>
            <w:r w:rsidRPr="00E6415F">
              <w:rPr>
                <w:b/>
                <w:bCs/>
              </w:rPr>
              <w:lastRenderedPageBreak/>
              <w:t>Complies</w:t>
            </w:r>
          </w:p>
        </w:tc>
      </w:tr>
      <w:tr w:rsidR="00701B4C" w14:paraId="620EE0BE" w14:textId="77777777" w:rsidTr="004D606B">
        <w:tc>
          <w:tcPr>
            <w:tcW w:w="1781" w:type="dxa"/>
            <w:tcBorders>
              <w:top w:val="single" w:sz="4" w:space="0" w:color="4E4E50" w:themeColor="accent2"/>
              <w:left w:val="nil"/>
              <w:bottom w:val="single" w:sz="4" w:space="0" w:color="4E4E50" w:themeColor="accent2"/>
              <w:right w:val="nil"/>
            </w:tcBorders>
            <w:hideMark/>
          </w:tcPr>
          <w:p w14:paraId="6A1B4B0A" w14:textId="77777777" w:rsidR="00701B4C" w:rsidRDefault="00701B4C">
            <w:pPr>
              <w:pStyle w:val="TableText"/>
            </w:pPr>
            <w:r>
              <w:t>Clause 7.1 Earthworks</w:t>
            </w:r>
          </w:p>
        </w:tc>
        <w:tc>
          <w:tcPr>
            <w:tcW w:w="6866" w:type="dxa"/>
            <w:tcBorders>
              <w:top w:val="single" w:sz="4" w:space="0" w:color="4E4E50" w:themeColor="accent2"/>
              <w:left w:val="nil"/>
              <w:bottom w:val="single" w:sz="4" w:space="0" w:color="4E4E50" w:themeColor="accent2"/>
              <w:right w:val="nil"/>
            </w:tcBorders>
            <w:hideMark/>
          </w:tcPr>
          <w:p w14:paraId="341AA489" w14:textId="77777777" w:rsidR="00701B4C" w:rsidRDefault="00701B4C">
            <w:pPr>
              <w:pStyle w:val="TableText"/>
            </w:pPr>
            <w:r>
              <w:t>The proposal includes bulk excavations to construct the basement, which requires consent in accordance with Clause 7.1.</w:t>
            </w:r>
          </w:p>
          <w:p w14:paraId="5AD73146" w14:textId="394A43F9" w:rsidR="00701B4C" w:rsidRDefault="00701B4C" w:rsidP="00DE7C08">
            <w:pPr>
              <w:pStyle w:val="TableText"/>
            </w:pPr>
            <w:r>
              <w:t xml:space="preserve">The Civil Works package includes details of site preparation, including bulk excavations for the proposed basement. </w:t>
            </w:r>
            <w:r w:rsidR="00DE7C08">
              <w:t xml:space="preserve"> </w:t>
            </w:r>
            <w:r>
              <w:t>Based on the information in the Civil Works package, including the Site Management Plan, Erosion and Sediment Control Plan, Bulk Excavation Plan, and Site Works Plan, the proposal is considered to have me</w:t>
            </w:r>
            <w:r w:rsidR="00391634">
              <w:t>t</w:t>
            </w:r>
            <w:r>
              <w:t xml:space="preserve"> the requirements under Clause 7.1</w:t>
            </w:r>
          </w:p>
          <w:p w14:paraId="0C8A2EC3" w14:textId="5952E454" w:rsidR="00701B4C" w:rsidRDefault="00701B4C">
            <w:pPr>
              <w:pStyle w:val="TableText"/>
            </w:pPr>
            <w:r>
              <w:t>The proposal includes ancillary earthworks in</w:t>
            </w:r>
            <w:r w:rsidR="00DE7C08">
              <w:t xml:space="preserve"> regards to</w:t>
            </w:r>
            <w:r>
              <w:t xml:space="preserve"> the excavation of basement car parking and requires consideration under Clause 7.1 of the QLEP</w:t>
            </w:r>
            <w:r w:rsidR="00E6415F">
              <w:t xml:space="preserve"> 2012</w:t>
            </w:r>
            <w:r>
              <w:t xml:space="preserve">. Measures will be in place during excavation works to minimise impact on nearby development and to maintain existing drainage. As discussed in the SEPP 55 assessment above, testing of soil will be </w:t>
            </w:r>
            <w:r>
              <w:lastRenderedPageBreak/>
              <w:t>undertaken prior to works commencing to ensure excavated soil is suitably classified for disposal off-site in accordance with NSW EPA requirements.</w:t>
            </w:r>
          </w:p>
        </w:tc>
        <w:tc>
          <w:tcPr>
            <w:tcW w:w="1445" w:type="dxa"/>
            <w:tcBorders>
              <w:top w:val="single" w:sz="4" w:space="0" w:color="4E4E50" w:themeColor="accent2"/>
              <w:left w:val="nil"/>
              <w:bottom w:val="single" w:sz="4" w:space="0" w:color="4E4E50" w:themeColor="accent2"/>
              <w:right w:val="nil"/>
            </w:tcBorders>
            <w:hideMark/>
          </w:tcPr>
          <w:p w14:paraId="2C30AAA2" w14:textId="77777777" w:rsidR="00701B4C" w:rsidRPr="00E6415F" w:rsidRDefault="00701B4C">
            <w:pPr>
              <w:pStyle w:val="TableText"/>
              <w:rPr>
                <w:b/>
                <w:bCs/>
              </w:rPr>
            </w:pPr>
            <w:r w:rsidRPr="00E6415F">
              <w:rPr>
                <w:b/>
                <w:bCs/>
              </w:rPr>
              <w:lastRenderedPageBreak/>
              <w:t>Complies</w:t>
            </w:r>
          </w:p>
        </w:tc>
      </w:tr>
      <w:tr w:rsidR="00701B4C" w14:paraId="362C99E8" w14:textId="77777777" w:rsidTr="004D606B">
        <w:tc>
          <w:tcPr>
            <w:tcW w:w="1781" w:type="dxa"/>
            <w:tcBorders>
              <w:top w:val="single" w:sz="4" w:space="0" w:color="4E4E50" w:themeColor="accent2"/>
              <w:left w:val="nil"/>
              <w:bottom w:val="single" w:sz="4" w:space="0" w:color="4E4E50" w:themeColor="accent2"/>
              <w:right w:val="nil"/>
            </w:tcBorders>
            <w:hideMark/>
          </w:tcPr>
          <w:p w14:paraId="6FD0B555" w14:textId="77777777" w:rsidR="00701B4C" w:rsidRDefault="00701B4C">
            <w:pPr>
              <w:pStyle w:val="TableText"/>
            </w:pPr>
            <w:r>
              <w:t>Clause 7.2 Flood planning</w:t>
            </w:r>
          </w:p>
        </w:tc>
        <w:tc>
          <w:tcPr>
            <w:tcW w:w="6866" w:type="dxa"/>
            <w:tcBorders>
              <w:top w:val="single" w:sz="4" w:space="0" w:color="4E4E50" w:themeColor="accent2"/>
              <w:left w:val="nil"/>
              <w:bottom w:val="single" w:sz="4" w:space="0" w:color="4E4E50" w:themeColor="accent2"/>
              <w:right w:val="nil"/>
            </w:tcBorders>
            <w:hideMark/>
          </w:tcPr>
          <w:p w14:paraId="499F7F2F" w14:textId="77777777" w:rsidR="00DD2B07" w:rsidRDefault="00701B4C" w:rsidP="00DD2B07">
            <w:pPr>
              <w:pStyle w:val="TableText"/>
            </w:pPr>
            <w:r>
              <w:t xml:space="preserve">The subject site is identified in the Flood Planning Area on the Flood Planning Map and must be assessed against Clause 7.2. </w:t>
            </w:r>
            <w:r w:rsidR="00DD2B07">
              <w:t xml:space="preserve">The associated flood planning level is RL575.51. The proposed building has been designed to provide a 500mm freeboard to the ground floor level to RL576.02. </w:t>
            </w:r>
          </w:p>
          <w:p w14:paraId="05EFF2CB" w14:textId="17699C57" w:rsidR="00DD2B07" w:rsidRDefault="00DD2B07" w:rsidP="00DD2B07">
            <w:pPr>
              <w:pStyle w:val="TableText"/>
            </w:pPr>
            <w:r>
              <w:t xml:space="preserve">The proposed basement carpark will be lower than the flood level, although the basement entrance is above the 1 in 100 year ARI plus a 500mm freeboard, and a flood gate is proposed to restrict flood water entering the basement. </w:t>
            </w:r>
          </w:p>
          <w:p w14:paraId="3F24424E" w14:textId="24E650DA" w:rsidR="00DD2B07" w:rsidRDefault="00DD2B07" w:rsidP="00DD2B07">
            <w:pPr>
              <w:pStyle w:val="TableText"/>
            </w:pPr>
            <w:r>
              <w:t xml:space="preserve">Council granted an exemption to permit the proposed development to construct its basement more than 2m below the flood planning level. </w:t>
            </w:r>
          </w:p>
          <w:p w14:paraId="45FD987A" w14:textId="77777777" w:rsidR="00701B4C" w:rsidRDefault="00701B4C">
            <w:pPr>
              <w:pStyle w:val="TableText"/>
            </w:pPr>
            <w:r>
              <w:t xml:space="preserve">The proposal includes an Upstream Stormwater Diversion Plan which demonstrates stormwater management around the proposed building and public plaza. Stormwater is diverted to the pipes around the perimeter of the subject site. </w:t>
            </w:r>
          </w:p>
          <w:p w14:paraId="1C19FD04" w14:textId="32B885AD" w:rsidR="00DD2B07" w:rsidRDefault="00DD2B07" w:rsidP="00DD2B07">
            <w:pPr>
              <w:pStyle w:val="TableText"/>
            </w:pPr>
            <w:r>
              <w:t xml:space="preserve">The proposal has located the building footprint around the Council stormwater main that traverses the subject Site. The shape of the proposed basement follows the line of the stormwater pipe and is conscious of the surrounding exclusion zone, as shown in </w:t>
            </w:r>
            <w:r>
              <w:fldChar w:fldCharType="begin"/>
            </w:r>
            <w:r>
              <w:instrText xml:space="preserve"> REF _Ref40820059 \h  \* MERGEFORMAT </w:instrText>
            </w:r>
            <w:r>
              <w:fldChar w:fldCharType="separate"/>
            </w:r>
            <w:r w:rsidR="008F4696" w:rsidRPr="00782F75">
              <w:t xml:space="preserve">Figure </w:t>
            </w:r>
            <w:r w:rsidR="008F4696">
              <w:rPr>
                <w:noProof/>
              </w:rPr>
              <w:t>8</w:t>
            </w:r>
            <w:r>
              <w:fldChar w:fldCharType="end"/>
            </w:r>
            <w:r>
              <w:t>. The portion of the building over the stormwater pipe comprises the building core. An exclusion zone around the existing stormwater main is proposed to protect this asset whilst allowing construction over it.</w:t>
            </w:r>
          </w:p>
          <w:p w14:paraId="00071388" w14:textId="37BD7D18" w:rsidR="00DD2B07" w:rsidRPr="00782F75" w:rsidRDefault="00DD2B07" w:rsidP="00DD2B07">
            <w:pPr>
              <w:pStyle w:val="Caption"/>
            </w:pPr>
            <w:bookmarkStart w:id="36" w:name="_Ref40820059"/>
            <w:bookmarkStart w:id="37" w:name="_Toc48230341"/>
            <w:r w:rsidRPr="00782F75">
              <w:t xml:space="preserve">Figure </w:t>
            </w:r>
            <w:r>
              <w:rPr>
                <w:noProof/>
              </w:rPr>
              <w:fldChar w:fldCharType="begin"/>
            </w:r>
            <w:r>
              <w:rPr>
                <w:noProof/>
              </w:rPr>
              <w:instrText xml:space="preserve"> SEQ Figure \* ARABIC </w:instrText>
            </w:r>
            <w:r>
              <w:rPr>
                <w:noProof/>
              </w:rPr>
              <w:fldChar w:fldCharType="separate"/>
            </w:r>
            <w:r w:rsidR="008F4696">
              <w:rPr>
                <w:noProof/>
              </w:rPr>
              <w:t>8</w:t>
            </w:r>
            <w:r>
              <w:rPr>
                <w:noProof/>
              </w:rPr>
              <w:fldChar w:fldCharType="end"/>
            </w:r>
            <w:bookmarkEnd w:id="36"/>
            <w:r>
              <w:tab/>
              <w:t>Basement plan and stormwater main location</w:t>
            </w:r>
            <w:bookmarkEnd w:id="37"/>
          </w:p>
          <w:p w14:paraId="2C9CC7B8" w14:textId="6E8E179B" w:rsidR="00DD2B07" w:rsidRDefault="00DD2B07">
            <w:pPr>
              <w:pStyle w:val="TableText"/>
            </w:pPr>
            <w:r>
              <w:rPr>
                <w:noProof/>
                <w:lang w:eastAsia="en-AU"/>
              </w:rPr>
              <w:drawing>
                <wp:inline distT="0" distB="0" distL="0" distR="0" wp14:anchorId="5C2C99B5" wp14:editId="06185252">
                  <wp:extent cx="4217855" cy="211604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07107" cy="2160818"/>
                          </a:xfrm>
                          <a:prstGeom prst="rect">
                            <a:avLst/>
                          </a:prstGeom>
                          <a:noFill/>
                          <a:ln>
                            <a:noFill/>
                          </a:ln>
                        </pic:spPr>
                      </pic:pic>
                    </a:graphicData>
                  </a:graphic>
                </wp:inline>
              </w:drawing>
            </w:r>
          </w:p>
        </w:tc>
        <w:tc>
          <w:tcPr>
            <w:tcW w:w="1445" w:type="dxa"/>
            <w:tcBorders>
              <w:top w:val="single" w:sz="4" w:space="0" w:color="4E4E50" w:themeColor="accent2"/>
              <w:left w:val="nil"/>
              <w:bottom w:val="single" w:sz="4" w:space="0" w:color="4E4E50" w:themeColor="accent2"/>
              <w:right w:val="nil"/>
            </w:tcBorders>
            <w:hideMark/>
          </w:tcPr>
          <w:p w14:paraId="15A6AC4C" w14:textId="77777777" w:rsidR="00701B4C" w:rsidRPr="00DE7C08" w:rsidRDefault="00701B4C">
            <w:pPr>
              <w:pStyle w:val="TableText"/>
              <w:rPr>
                <w:b/>
                <w:bCs/>
              </w:rPr>
            </w:pPr>
            <w:r w:rsidRPr="00DE7C08">
              <w:rPr>
                <w:b/>
                <w:bCs/>
              </w:rPr>
              <w:t>Complies</w:t>
            </w:r>
          </w:p>
        </w:tc>
      </w:tr>
      <w:tr w:rsidR="00701B4C" w14:paraId="15C09D70" w14:textId="77777777" w:rsidTr="004D606B">
        <w:tc>
          <w:tcPr>
            <w:tcW w:w="1781" w:type="dxa"/>
            <w:tcBorders>
              <w:top w:val="single" w:sz="4" w:space="0" w:color="4E4E50" w:themeColor="accent2"/>
              <w:left w:val="nil"/>
              <w:bottom w:val="single" w:sz="4" w:space="0" w:color="4E4E50" w:themeColor="accent2"/>
              <w:right w:val="nil"/>
            </w:tcBorders>
            <w:hideMark/>
          </w:tcPr>
          <w:p w14:paraId="24F79B17" w14:textId="77777777" w:rsidR="00701B4C" w:rsidRDefault="00701B4C">
            <w:pPr>
              <w:pStyle w:val="TableText"/>
            </w:pPr>
            <w:r>
              <w:t>Clause 7.8 Active Street Frontages</w:t>
            </w:r>
          </w:p>
        </w:tc>
        <w:tc>
          <w:tcPr>
            <w:tcW w:w="6866" w:type="dxa"/>
            <w:tcBorders>
              <w:top w:val="single" w:sz="4" w:space="0" w:color="4E4E50" w:themeColor="accent2"/>
              <w:left w:val="nil"/>
              <w:bottom w:val="single" w:sz="4" w:space="0" w:color="4E4E50" w:themeColor="accent2"/>
              <w:right w:val="nil"/>
            </w:tcBorders>
            <w:hideMark/>
          </w:tcPr>
          <w:p w14:paraId="4A0594AD" w14:textId="77777777" w:rsidR="00701B4C" w:rsidRDefault="00701B4C">
            <w:pPr>
              <w:pStyle w:val="TableText"/>
            </w:pPr>
            <w:r>
              <w:t>This clause was not directly addressed in the proposal.</w:t>
            </w:r>
          </w:p>
          <w:p w14:paraId="53258A16" w14:textId="77777777" w:rsidR="00701B4C" w:rsidRDefault="00701B4C">
            <w:pPr>
              <w:pStyle w:val="TableText"/>
            </w:pPr>
            <w:r>
              <w:t xml:space="preserve">The subject site is identified on the Active Street Frontages Map. </w:t>
            </w:r>
          </w:p>
          <w:p w14:paraId="622F54A4" w14:textId="505DF78E" w:rsidR="00701B4C" w:rsidRDefault="00701B4C">
            <w:pPr>
              <w:pStyle w:val="TableText"/>
            </w:pPr>
            <w:r>
              <w:t>The ground floor includes uses that promote an active frontage</w:t>
            </w:r>
            <w:r w:rsidR="00DE7C08">
              <w:t>,</w:t>
            </w:r>
            <w:r>
              <w:t xml:space="preserve"> includ</w:t>
            </w:r>
            <w:r w:rsidR="00DE7C08">
              <w:t>ing</w:t>
            </w:r>
            <w:r>
              <w:t xml:space="preserve"> the proposed Council shopfront, a cafe and a smart hub. </w:t>
            </w:r>
          </w:p>
          <w:p w14:paraId="4CCF11F0" w14:textId="77777777" w:rsidR="00701B4C" w:rsidRDefault="00701B4C">
            <w:pPr>
              <w:pStyle w:val="TableText"/>
            </w:pPr>
            <w:r>
              <w:t>The proposed forecourt provides an area to encourage pedestrian activity, and includes a ticket kiosk for the nearby Q Theatre.</w:t>
            </w:r>
          </w:p>
        </w:tc>
        <w:tc>
          <w:tcPr>
            <w:tcW w:w="1445" w:type="dxa"/>
            <w:tcBorders>
              <w:top w:val="single" w:sz="4" w:space="0" w:color="4E4E50" w:themeColor="accent2"/>
              <w:left w:val="nil"/>
              <w:bottom w:val="single" w:sz="4" w:space="0" w:color="4E4E50" w:themeColor="accent2"/>
              <w:right w:val="nil"/>
            </w:tcBorders>
            <w:hideMark/>
          </w:tcPr>
          <w:p w14:paraId="3EEFEF6A" w14:textId="77777777" w:rsidR="00701B4C" w:rsidRPr="00DE7C08" w:rsidRDefault="00701B4C">
            <w:pPr>
              <w:pStyle w:val="TableText"/>
              <w:rPr>
                <w:b/>
                <w:bCs/>
              </w:rPr>
            </w:pPr>
            <w:r w:rsidRPr="00DE7C08">
              <w:rPr>
                <w:b/>
                <w:bCs/>
              </w:rPr>
              <w:t xml:space="preserve">Complies </w:t>
            </w:r>
          </w:p>
        </w:tc>
      </w:tr>
      <w:tr w:rsidR="00701B4C" w14:paraId="089654D9" w14:textId="77777777" w:rsidTr="004D606B">
        <w:tc>
          <w:tcPr>
            <w:tcW w:w="1781" w:type="dxa"/>
            <w:tcBorders>
              <w:top w:val="single" w:sz="4" w:space="0" w:color="4E4E50" w:themeColor="accent2"/>
              <w:left w:val="nil"/>
              <w:bottom w:val="single" w:sz="4" w:space="0" w:color="4E4E50" w:themeColor="accent2"/>
              <w:right w:val="nil"/>
            </w:tcBorders>
            <w:hideMark/>
          </w:tcPr>
          <w:p w14:paraId="196482B1" w14:textId="77777777" w:rsidR="00701B4C" w:rsidRDefault="00701B4C">
            <w:pPr>
              <w:pStyle w:val="TableText"/>
            </w:pPr>
            <w:r>
              <w:t>7.9 Essential Services</w:t>
            </w:r>
          </w:p>
        </w:tc>
        <w:tc>
          <w:tcPr>
            <w:tcW w:w="6866" w:type="dxa"/>
            <w:tcBorders>
              <w:top w:val="single" w:sz="4" w:space="0" w:color="4E4E50" w:themeColor="accent2"/>
              <w:left w:val="nil"/>
              <w:bottom w:val="single" w:sz="4" w:space="0" w:color="4E4E50" w:themeColor="accent2"/>
              <w:right w:val="nil"/>
            </w:tcBorders>
            <w:hideMark/>
          </w:tcPr>
          <w:p w14:paraId="3FF69233" w14:textId="77777777" w:rsidR="00701B4C" w:rsidRDefault="00701B4C">
            <w:pPr>
              <w:pStyle w:val="TableText"/>
            </w:pPr>
            <w:r>
              <w:t>This clause was not directly addressed in the proposal.</w:t>
            </w:r>
          </w:p>
          <w:p w14:paraId="71537675" w14:textId="77777777" w:rsidR="00701B4C" w:rsidRDefault="00701B4C">
            <w:pPr>
              <w:pStyle w:val="TableText"/>
            </w:pPr>
            <w:r>
              <w:t xml:space="preserve">The proposal includes a Services Plan demonstrating sewerage infrastructure and a Concept Stormwater Management Plan. </w:t>
            </w:r>
          </w:p>
          <w:p w14:paraId="29F44EBB" w14:textId="6D68DD15" w:rsidR="00701B4C" w:rsidRDefault="00701B4C">
            <w:pPr>
              <w:pStyle w:val="TableText"/>
            </w:pPr>
            <w:r>
              <w:t>The proposal includes the provision of a new substation, located on the southern side of the building</w:t>
            </w:r>
            <w:r w:rsidR="00C14E67">
              <w:t>.</w:t>
            </w:r>
          </w:p>
        </w:tc>
        <w:tc>
          <w:tcPr>
            <w:tcW w:w="1445" w:type="dxa"/>
            <w:tcBorders>
              <w:top w:val="single" w:sz="4" w:space="0" w:color="4E4E50" w:themeColor="accent2"/>
              <w:left w:val="nil"/>
              <w:bottom w:val="single" w:sz="4" w:space="0" w:color="4E4E50" w:themeColor="accent2"/>
              <w:right w:val="nil"/>
            </w:tcBorders>
            <w:hideMark/>
          </w:tcPr>
          <w:p w14:paraId="1C7D28E3" w14:textId="77777777" w:rsidR="00701B4C" w:rsidRPr="00DE7C08" w:rsidRDefault="00701B4C">
            <w:pPr>
              <w:pStyle w:val="TableText"/>
              <w:rPr>
                <w:b/>
                <w:bCs/>
              </w:rPr>
            </w:pPr>
            <w:r w:rsidRPr="00DE7C08">
              <w:rPr>
                <w:b/>
                <w:bCs/>
              </w:rPr>
              <w:t>Complies</w:t>
            </w:r>
          </w:p>
        </w:tc>
      </w:tr>
    </w:tbl>
    <w:p w14:paraId="0475809A" w14:textId="7ADF2BE0" w:rsidR="000C527B" w:rsidRDefault="000C527B" w:rsidP="000C527B">
      <w:pPr>
        <w:pStyle w:val="Heading2"/>
      </w:pPr>
      <w:bookmarkStart w:id="38" w:name="_Toc48230316"/>
      <w:r>
        <w:lastRenderedPageBreak/>
        <w:t>Development Control Plans</w:t>
      </w:r>
      <w:bookmarkEnd w:id="38"/>
    </w:p>
    <w:p w14:paraId="5EA33166" w14:textId="6E92589D" w:rsidR="00701B4C" w:rsidRDefault="00701B4C" w:rsidP="00701B4C">
      <w:pPr>
        <w:pStyle w:val="BodyText"/>
      </w:pPr>
      <w:r>
        <w:t>The proposal has demonstrated consistency with the Queanbeyan Development Control Plan</w:t>
      </w:r>
      <w:r w:rsidR="00975060">
        <w:t xml:space="preserve"> (QDCP)</w:t>
      </w:r>
      <w:r>
        <w:t xml:space="preserve"> </w:t>
      </w:r>
      <w:r w:rsidR="00476808">
        <w:t xml:space="preserve">2012, as shown in </w:t>
      </w:r>
      <w:r w:rsidR="00476808">
        <w:fldChar w:fldCharType="begin"/>
      </w:r>
      <w:r w:rsidR="00476808">
        <w:instrText xml:space="preserve"> REF _Ref40947860 \h </w:instrText>
      </w:r>
      <w:r w:rsidR="00476808">
        <w:fldChar w:fldCharType="separate"/>
      </w:r>
      <w:r w:rsidR="008F4696">
        <w:t>Table </w:t>
      </w:r>
      <w:r w:rsidR="008F4696">
        <w:rPr>
          <w:noProof/>
        </w:rPr>
        <w:t>6</w:t>
      </w:r>
      <w:r w:rsidR="00476808">
        <w:fldChar w:fldCharType="end"/>
      </w:r>
      <w:r>
        <w:t xml:space="preserve">. A full assessment </w:t>
      </w:r>
      <w:r w:rsidR="00C83EB7">
        <w:t>indicating the performance of the proposal against relevant non-statutory standards of the QDCP</w:t>
      </w:r>
      <w:r w:rsidR="00975060">
        <w:t xml:space="preserve"> 2012</w:t>
      </w:r>
      <w:r w:rsidR="00C83EB7">
        <w:t xml:space="preserve"> is included at </w:t>
      </w:r>
      <w:r w:rsidR="00C83EB7" w:rsidRPr="005049BD">
        <w:rPr>
          <w:b/>
          <w:bCs/>
        </w:rPr>
        <w:t xml:space="preserve">Appendix </w:t>
      </w:r>
      <w:r w:rsidR="007C5879">
        <w:rPr>
          <w:b/>
          <w:bCs/>
        </w:rPr>
        <w:t>A</w:t>
      </w:r>
      <w:r w:rsidR="00C83EB7">
        <w:t xml:space="preserve">. </w:t>
      </w:r>
    </w:p>
    <w:p w14:paraId="087C4D9B" w14:textId="45EFB1A1" w:rsidR="00476808" w:rsidRDefault="00476808" w:rsidP="00476808">
      <w:pPr>
        <w:pStyle w:val="TableCaption"/>
      </w:pPr>
      <w:bookmarkStart w:id="39" w:name="_Ref40947860"/>
      <w:bookmarkStart w:id="40" w:name="_Toc48230348"/>
      <w:r>
        <w:t>Table </w:t>
      </w:r>
      <w:r w:rsidR="0070791B">
        <w:rPr>
          <w:noProof/>
        </w:rPr>
        <w:fldChar w:fldCharType="begin"/>
      </w:r>
      <w:r w:rsidR="0070791B">
        <w:rPr>
          <w:noProof/>
        </w:rPr>
        <w:instrText xml:space="preserve"> SEQ Table \* ARABIC </w:instrText>
      </w:r>
      <w:r w:rsidR="0070791B">
        <w:rPr>
          <w:noProof/>
        </w:rPr>
        <w:fldChar w:fldCharType="separate"/>
      </w:r>
      <w:r w:rsidR="008F4696">
        <w:rPr>
          <w:noProof/>
        </w:rPr>
        <w:t>6</w:t>
      </w:r>
      <w:r w:rsidR="0070791B">
        <w:rPr>
          <w:noProof/>
        </w:rPr>
        <w:fldChar w:fldCharType="end"/>
      </w:r>
      <w:bookmarkEnd w:id="39"/>
      <w:r>
        <w:tab/>
        <w:t>QDCP Assessment</w:t>
      </w:r>
      <w:bookmarkEnd w:id="40"/>
      <w:r>
        <w:t xml:space="preserve"> </w:t>
      </w:r>
    </w:p>
    <w:tbl>
      <w:tblPr>
        <w:tblStyle w:val="GreenLinedTable"/>
        <w:tblW w:w="4949" w:type="pct"/>
        <w:tblLayout w:type="fixed"/>
        <w:tblLook w:val="0620" w:firstRow="1" w:lastRow="0" w:firstColumn="0" w:lastColumn="0" w:noHBand="1" w:noVBand="1"/>
      </w:tblPr>
      <w:tblGrid>
        <w:gridCol w:w="1781"/>
        <w:gridCol w:w="6498"/>
        <w:gridCol w:w="1710"/>
      </w:tblGrid>
      <w:tr w:rsidR="00476808" w14:paraId="5C35BC9F" w14:textId="77777777" w:rsidTr="00612DAF">
        <w:trPr>
          <w:cnfStyle w:val="100000000000" w:firstRow="1" w:lastRow="0" w:firstColumn="0" w:lastColumn="0" w:oddVBand="0" w:evenVBand="0" w:oddHBand="0" w:evenHBand="0" w:firstRowFirstColumn="0" w:firstRowLastColumn="0" w:lastRowFirstColumn="0" w:lastRowLastColumn="0"/>
          <w:tblHeader/>
        </w:trPr>
        <w:tc>
          <w:tcPr>
            <w:tcW w:w="1781" w:type="dxa"/>
            <w:hideMark/>
          </w:tcPr>
          <w:p w14:paraId="23B9E969" w14:textId="77777777" w:rsidR="00476808" w:rsidRDefault="00476808" w:rsidP="002F55A8">
            <w:pPr>
              <w:pStyle w:val="TableHeadingGrey"/>
            </w:pPr>
            <w:r>
              <w:t>Control</w:t>
            </w:r>
          </w:p>
        </w:tc>
        <w:tc>
          <w:tcPr>
            <w:tcW w:w="6499" w:type="dxa"/>
            <w:hideMark/>
          </w:tcPr>
          <w:p w14:paraId="2E3C1A2B" w14:textId="77777777" w:rsidR="00476808" w:rsidRDefault="00476808" w:rsidP="002F55A8">
            <w:pPr>
              <w:pStyle w:val="TableHeadingGrey"/>
            </w:pPr>
            <w:r>
              <w:t>Comment</w:t>
            </w:r>
          </w:p>
        </w:tc>
        <w:tc>
          <w:tcPr>
            <w:tcW w:w="1710" w:type="dxa"/>
            <w:hideMark/>
          </w:tcPr>
          <w:p w14:paraId="52C49FDD" w14:textId="77777777" w:rsidR="00476808" w:rsidRDefault="00476808" w:rsidP="002F55A8">
            <w:pPr>
              <w:pStyle w:val="TableHeadingGrey"/>
            </w:pPr>
            <w:r>
              <w:t>Compliance</w:t>
            </w:r>
          </w:p>
        </w:tc>
      </w:tr>
      <w:tr w:rsidR="00476808" w14:paraId="2A5B519C" w14:textId="77777777" w:rsidTr="00612DAF">
        <w:tc>
          <w:tcPr>
            <w:tcW w:w="1781" w:type="dxa"/>
            <w:tcBorders>
              <w:top w:val="single" w:sz="4" w:space="0" w:color="4E4E50" w:themeColor="accent2"/>
              <w:left w:val="nil"/>
              <w:bottom w:val="single" w:sz="4" w:space="0" w:color="4E4E50" w:themeColor="accent2"/>
              <w:right w:val="nil"/>
            </w:tcBorders>
          </w:tcPr>
          <w:p w14:paraId="149209B7" w14:textId="534A0E83" w:rsidR="00476808" w:rsidRDefault="002F55A8" w:rsidP="002F55A8">
            <w:pPr>
              <w:pStyle w:val="TableText"/>
            </w:pPr>
            <w:r>
              <w:t xml:space="preserve">2.2 Car Parking </w:t>
            </w:r>
          </w:p>
        </w:tc>
        <w:tc>
          <w:tcPr>
            <w:tcW w:w="6499" w:type="dxa"/>
            <w:tcBorders>
              <w:top w:val="single" w:sz="4" w:space="0" w:color="4E4E50" w:themeColor="accent2"/>
              <w:left w:val="nil"/>
              <w:bottom w:val="single" w:sz="4" w:space="0" w:color="4E4E50" w:themeColor="accent2"/>
              <w:right w:val="nil"/>
            </w:tcBorders>
          </w:tcPr>
          <w:p w14:paraId="548CB8B0" w14:textId="788FC319" w:rsidR="00B94642" w:rsidRDefault="00B94642" w:rsidP="002F55A8">
            <w:pPr>
              <w:pStyle w:val="TableText"/>
              <w:rPr>
                <w:u w:val="single"/>
              </w:rPr>
            </w:pPr>
            <w:r>
              <w:rPr>
                <w:u w:val="single"/>
              </w:rPr>
              <w:t>The car</w:t>
            </w:r>
            <w:r w:rsidR="00867706">
              <w:rPr>
                <w:u w:val="single"/>
              </w:rPr>
              <w:t xml:space="preserve"> </w:t>
            </w:r>
            <w:r>
              <w:rPr>
                <w:u w:val="single"/>
              </w:rPr>
              <w:t xml:space="preserve">parking </w:t>
            </w:r>
            <w:r w:rsidR="00867706">
              <w:rPr>
                <w:u w:val="single"/>
              </w:rPr>
              <w:t xml:space="preserve">associated with the original DA documentation has been updated and clarified through the </w:t>
            </w:r>
            <w:proofErr w:type="spellStart"/>
            <w:r>
              <w:rPr>
                <w:u w:val="single"/>
              </w:rPr>
              <w:t>the</w:t>
            </w:r>
            <w:proofErr w:type="spellEnd"/>
            <w:r>
              <w:rPr>
                <w:u w:val="single"/>
              </w:rPr>
              <w:t xml:space="preserve"> Traffic Report dated 26 June 2020 and prepared by Taylor Thompson Whittling (refer also section 5.1.2 Traffic and parking</w:t>
            </w:r>
            <w:r w:rsidR="00867706">
              <w:rPr>
                <w:u w:val="single"/>
              </w:rPr>
              <w:t>)</w:t>
            </w:r>
            <w:r>
              <w:rPr>
                <w:u w:val="single"/>
              </w:rPr>
              <w:t>.</w:t>
            </w:r>
          </w:p>
          <w:p w14:paraId="48B98FBA" w14:textId="058445C4" w:rsidR="00684759" w:rsidRPr="00684759" w:rsidRDefault="00867706" w:rsidP="00497CD9">
            <w:pPr>
              <w:pStyle w:val="TableText"/>
              <w:rPr>
                <w:u w:val="single"/>
              </w:rPr>
            </w:pPr>
            <w:r>
              <w:rPr>
                <w:u w:val="single"/>
              </w:rPr>
              <w:t>Based on the characterisation of land uses in the QDCP being a public administration building and community facilities, t</w:t>
            </w:r>
            <w:r w:rsidR="00B94642">
              <w:rPr>
                <w:u w:val="single"/>
              </w:rPr>
              <w:t xml:space="preserve">he development generates demand for 70 additional car parking spaces.  </w:t>
            </w:r>
            <w:r>
              <w:rPr>
                <w:u w:val="single"/>
              </w:rPr>
              <w:t xml:space="preserve">The proposal will result in the provision of 161 spaces including basement parking for 108 vehicles and car parking that will be reinstated in the Lowe Street Car Park and additional parking provided at basement level in the building. </w:t>
            </w:r>
            <w:r w:rsidR="00684759" w:rsidRPr="00684759">
              <w:rPr>
                <w:u w:val="single"/>
              </w:rPr>
              <w:t>Bicycle Parking</w:t>
            </w:r>
          </w:p>
          <w:p w14:paraId="300207D7" w14:textId="77777777" w:rsidR="00684759" w:rsidRDefault="00684759" w:rsidP="00497CD9">
            <w:pPr>
              <w:pStyle w:val="TableText"/>
            </w:pPr>
            <w:r>
              <w:t>The proposed development demonstrates a commitment to reducing car dependency and includes a bike storage area with capacity for 68 bicycles. End of trip facilities are also provided to encourage ridership.</w:t>
            </w:r>
          </w:p>
          <w:p w14:paraId="56C9C459" w14:textId="3FF1BA7C" w:rsidR="008F38B7" w:rsidRDefault="00280B12" w:rsidP="008F38B7">
            <w:pPr>
              <w:pStyle w:val="TableText"/>
            </w:pPr>
            <w:r>
              <w:t>Summary</w:t>
            </w:r>
          </w:p>
          <w:p w14:paraId="6BBFE6E9" w14:textId="77777777" w:rsidR="007D667D" w:rsidRDefault="00280B12" w:rsidP="008F38B7">
            <w:pPr>
              <w:pStyle w:val="TableText"/>
            </w:pPr>
            <w:r>
              <w:t xml:space="preserve">The development generates the need for an additional 67 car parking spaces.  The proposal will deliver a total of 75 spaces which is 8 more than required in the QDCP.  The operation of the community </w:t>
            </w:r>
            <w:r w:rsidR="007D667D">
              <w:t>aspect of the development will include the use of the facility outside the peak demand period 9am-5pm Monday to Friday and 9am to 1pm Saturday for typical parking in the CBD.  A combination of the parking proposed in addition to the public parking that is already available in the vicinity of the development is considered more than adequate.</w:t>
            </w:r>
          </w:p>
          <w:p w14:paraId="7F0CC733" w14:textId="4E4E6192" w:rsidR="00C44B74" w:rsidRDefault="00C44B74" w:rsidP="007D667D">
            <w:pPr>
              <w:pStyle w:val="TableText"/>
            </w:pPr>
          </w:p>
        </w:tc>
        <w:tc>
          <w:tcPr>
            <w:tcW w:w="1710" w:type="dxa"/>
            <w:tcBorders>
              <w:top w:val="single" w:sz="4" w:space="0" w:color="4E4E50" w:themeColor="accent2"/>
              <w:left w:val="nil"/>
              <w:bottom w:val="single" w:sz="4" w:space="0" w:color="4E4E50" w:themeColor="accent2"/>
              <w:right w:val="nil"/>
            </w:tcBorders>
            <w:hideMark/>
          </w:tcPr>
          <w:p w14:paraId="2842EBC3" w14:textId="0273306F" w:rsidR="00476808" w:rsidRPr="004D606B" w:rsidRDefault="00024473" w:rsidP="00024473">
            <w:pPr>
              <w:pStyle w:val="TableText"/>
              <w:rPr>
                <w:b/>
                <w:bCs/>
              </w:rPr>
            </w:pPr>
            <w:r>
              <w:rPr>
                <w:b/>
                <w:bCs/>
              </w:rPr>
              <w:t xml:space="preserve">Partially </w:t>
            </w:r>
            <w:r w:rsidR="00476808" w:rsidRPr="004D606B">
              <w:rPr>
                <w:b/>
                <w:bCs/>
              </w:rPr>
              <w:t xml:space="preserve">Complies </w:t>
            </w:r>
          </w:p>
        </w:tc>
      </w:tr>
      <w:tr w:rsidR="00476808" w14:paraId="18F23197" w14:textId="77777777" w:rsidTr="00612DAF">
        <w:tc>
          <w:tcPr>
            <w:tcW w:w="1781" w:type="dxa"/>
            <w:tcBorders>
              <w:top w:val="single" w:sz="4" w:space="0" w:color="4E4E50" w:themeColor="accent2"/>
              <w:left w:val="nil"/>
              <w:bottom w:val="single" w:sz="4" w:space="0" w:color="4E4E50" w:themeColor="accent2"/>
              <w:right w:val="nil"/>
            </w:tcBorders>
          </w:tcPr>
          <w:p w14:paraId="0C56A93D" w14:textId="44DEA7FE" w:rsidR="00476808" w:rsidRDefault="00497CD9" w:rsidP="002F55A8">
            <w:pPr>
              <w:pStyle w:val="TableText"/>
            </w:pPr>
            <w:r>
              <w:t xml:space="preserve">2.3.3 Energy Efficiency and Conservation </w:t>
            </w:r>
          </w:p>
        </w:tc>
        <w:tc>
          <w:tcPr>
            <w:tcW w:w="6499" w:type="dxa"/>
            <w:tcBorders>
              <w:top w:val="single" w:sz="4" w:space="0" w:color="4E4E50" w:themeColor="accent2"/>
              <w:left w:val="nil"/>
              <w:bottom w:val="single" w:sz="4" w:space="0" w:color="4E4E50" w:themeColor="accent2"/>
              <w:right w:val="nil"/>
            </w:tcBorders>
          </w:tcPr>
          <w:p w14:paraId="0BD62001" w14:textId="3E7511FF" w:rsidR="00476808" w:rsidRDefault="00497CD9" w:rsidP="00C11F96">
            <w:pPr>
              <w:pStyle w:val="TableText"/>
            </w:pPr>
            <w:r>
              <w:t xml:space="preserve">The building has been designed to achieve a 5-star Green Star energy rating and has been designed with consideration to the NABERS Energy (Base Building) Commitment Agreement.  </w:t>
            </w:r>
          </w:p>
        </w:tc>
        <w:tc>
          <w:tcPr>
            <w:tcW w:w="1710" w:type="dxa"/>
            <w:tcBorders>
              <w:top w:val="single" w:sz="4" w:space="0" w:color="4E4E50" w:themeColor="accent2"/>
              <w:left w:val="nil"/>
              <w:bottom w:val="single" w:sz="4" w:space="0" w:color="4E4E50" w:themeColor="accent2"/>
              <w:right w:val="nil"/>
            </w:tcBorders>
            <w:hideMark/>
          </w:tcPr>
          <w:p w14:paraId="3096817C" w14:textId="77777777" w:rsidR="00476808" w:rsidRPr="004D606B" w:rsidRDefault="00476808" w:rsidP="002F55A8">
            <w:pPr>
              <w:pStyle w:val="TableText"/>
              <w:rPr>
                <w:b/>
                <w:bCs/>
              </w:rPr>
            </w:pPr>
            <w:r w:rsidRPr="004D606B">
              <w:rPr>
                <w:b/>
                <w:bCs/>
              </w:rPr>
              <w:t xml:space="preserve">Complies </w:t>
            </w:r>
          </w:p>
        </w:tc>
      </w:tr>
      <w:tr w:rsidR="00476808" w14:paraId="2A6DDACA" w14:textId="77777777" w:rsidTr="00612DAF">
        <w:tc>
          <w:tcPr>
            <w:tcW w:w="1781" w:type="dxa"/>
            <w:tcBorders>
              <w:top w:val="single" w:sz="4" w:space="0" w:color="4E4E50" w:themeColor="accent2"/>
              <w:left w:val="nil"/>
              <w:bottom w:val="single" w:sz="4" w:space="0" w:color="4E4E50" w:themeColor="accent2"/>
              <w:right w:val="nil"/>
            </w:tcBorders>
          </w:tcPr>
          <w:p w14:paraId="1E652288" w14:textId="0E689386" w:rsidR="00476808" w:rsidRDefault="00497CD9" w:rsidP="002F55A8">
            <w:pPr>
              <w:pStyle w:val="TableText"/>
            </w:pPr>
            <w:r>
              <w:t xml:space="preserve">2.3.5 Waste and Recycling </w:t>
            </w:r>
          </w:p>
        </w:tc>
        <w:tc>
          <w:tcPr>
            <w:tcW w:w="6499" w:type="dxa"/>
            <w:tcBorders>
              <w:top w:val="single" w:sz="4" w:space="0" w:color="4E4E50" w:themeColor="accent2"/>
              <w:left w:val="nil"/>
              <w:bottom w:val="single" w:sz="4" w:space="0" w:color="4E4E50" w:themeColor="accent2"/>
              <w:right w:val="nil"/>
            </w:tcBorders>
          </w:tcPr>
          <w:p w14:paraId="5D02B3C5" w14:textId="2C403A68" w:rsidR="00497CD9" w:rsidRDefault="00497CD9" w:rsidP="00497CD9">
            <w:pPr>
              <w:pStyle w:val="TableText"/>
            </w:pPr>
            <w:r>
              <w:t>Relevant plans include</w:t>
            </w:r>
            <w:r w:rsidR="00C11F96">
              <w:t xml:space="preserve"> an</w:t>
            </w:r>
            <w:r>
              <w:t xml:space="preserve"> Operational Waste Management Plan (Drawing SK004) and Site Management Plan (C020).</w:t>
            </w:r>
          </w:p>
          <w:p w14:paraId="4BB778FD" w14:textId="7FB18082" w:rsidR="00497CD9" w:rsidRDefault="00497CD9" w:rsidP="00497CD9">
            <w:pPr>
              <w:pStyle w:val="TableText"/>
            </w:pPr>
            <w:r>
              <w:t>Waste room accommodates five 1110L recycling bins and four 1500</w:t>
            </w:r>
            <w:r w:rsidR="00C11F96">
              <w:t>L</w:t>
            </w:r>
            <w:r>
              <w:t xml:space="preserve"> waste bins. All bins </w:t>
            </w:r>
            <w:r w:rsidR="003B59B0">
              <w:t>are noted as being c</w:t>
            </w:r>
            <w:r>
              <w:t xml:space="preserve">ollected twice weekly. </w:t>
            </w:r>
          </w:p>
          <w:p w14:paraId="58A95561" w14:textId="6F4D603E" w:rsidR="00497CD9" w:rsidRDefault="003B59B0" w:rsidP="003B59B0">
            <w:pPr>
              <w:pStyle w:val="TableText"/>
            </w:pPr>
            <w:r>
              <w:t>Sweep paths provided via further information demonstrate that the proposed waste enclosure and associated service lane provides adequate access and manoeuvrability for a garbage truck (HRV 12.5m). The proposed location of the waste enclosure on the southern side of the building ensures it is out of site when viewed from Crawford Street. It is at grade with the service lane.</w:t>
            </w:r>
          </w:p>
          <w:p w14:paraId="05FFF327" w14:textId="2F81A0A4" w:rsidR="00476808" w:rsidRPr="003B59B0" w:rsidRDefault="003B59B0" w:rsidP="003B59B0">
            <w:pPr>
              <w:pStyle w:val="TableText"/>
            </w:pPr>
            <w:r>
              <w:t xml:space="preserve">A response to the internal referral to Council’s Waste Officer has not yet been received. </w:t>
            </w:r>
          </w:p>
        </w:tc>
        <w:tc>
          <w:tcPr>
            <w:tcW w:w="1710" w:type="dxa"/>
            <w:tcBorders>
              <w:top w:val="single" w:sz="4" w:space="0" w:color="4E4E50" w:themeColor="accent2"/>
              <w:left w:val="nil"/>
              <w:bottom w:val="single" w:sz="4" w:space="0" w:color="4E4E50" w:themeColor="accent2"/>
              <w:right w:val="nil"/>
            </w:tcBorders>
            <w:hideMark/>
          </w:tcPr>
          <w:p w14:paraId="471FCFA5" w14:textId="463A403E" w:rsidR="00476808" w:rsidRPr="004D606B" w:rsidRDefault="00497CD9" w:rsidP="002F55A8">
            <w:pPr>
              <w:pStyle w:val="TableText"/>
              <w:rPr>
                <w:b/>
                <w:bCs/>
              </w:rPr>
            </w:pPr>
            <w:r>
              <w:rPr>
                <w:b/>
                <w:bCs/>
              </w:rPr>
              <w:t>Not Determined</w:t>
            </w:r>
            <w:r w:rsidR="00476808" w:rsidRPr="004D606B">
              <w:rPr>
                <w:b/>
                <w:bCs/>
              </w:rPr>
              <w:t xml:space="preserve"> </w:t>
            </w:r>
          </w:p>
        </w:tc>
      </w:tr>
      <w:tr w:rsidR="00476808" w14:paraId="55AEAF93" w14:textId="77777777" w:rsidTr="00612DAF">
        <w:tc>
          <w:tcPr>
            <w:tcW w:w="1781" w:type="dxa"/>
            <w:tcBorders>
              <w:top w:val="single" w:sz="4" w:space="0" w:color="4E4E50" w:themeColor="accent2"/>
              <w:left w:val="nil"/>
              <w:bottom w:val="single" w:sz="4" w:space="0" w:color="4E4E50" w:themeColor="accent2"/>
              <w:right w:val="nil"/>
            </w:tcBorders>
          </w:tcPr>
          <w:p w14:paraId="536F35CC" w14:textId="0A6F67BE" w:rsidR="00476808" w:rsidRDefault="00497CD9" w:rsidP="002F55A8">
            <w:pPr>
              <w:pStyle w:val="TableText"/>
            </w:pPr>
            <w:r>
              <w:t>2.3.5 Noise and Vibration</w:t>
            </w:r>
          </w:p>
        </w:tc>
        <w:tc>
          <w:tcPr>
            <w:tcW w:w="6499" w:type="dxa"/>
            <w:tcBorders>
              <w:top w:val="single" w:sz="4" w:space="0" w:color="4E4E50" w:themeColor="accent2"/>
              <w:left w:val="nil"/>
              <w:bottom w:val="single" w:sz="4" w:space="0" w:color="4E4E50" w:themeColor="accent2"/>
              <w:right w:val="nil"/>
            </w:tcBorders>
          </w:tcPr>
          <w:p w14:paraId="2F849701" w14:textId="18C2053D" w:rsidR="00497CD9" w:rsidRDefault="00497CD9" w:rsidP="00497CD9">
            <w:pPr>
              <w:pStyle w:val="TableText"/>
            </w:pPr>
            <w:r>
              <w:t xml:space="preserve">The proposed development is not considered to be a noise generating use. The location of </w:t>
            </w:r>
            <w:r w:rsidR="00505C74">
              <w:t xml:space="preserve">the </w:t>
            </w:r>
            <w:r>
              <w:t xml:space="preserve">plant on the rooftop is appropriate. </w:t>
            </w:r>
          </w:p>
          <w:p w14:paraId="6C6FB8B6" w14:textId="0CA1CB2C" w:rsidR="00476808" w:rsidRDefault="00497CD9" w:rsidP="00497CD9">
            <w:pPr>
              <w:pStyle w:val="TableText"/>
            </w:pPr>
            <w:r>
              <w:t>The proposal integrates with the existing entertainment venue of The Q but does not expand these facilities.</w:t>
            </w:r>
          </w:p>
        </w:tc>
        <w:tc>
          <w:tcPr>
            <w:tcW w:w="1710" w:type="dxa"/>
            <w:tcBorders>
              <w:top w:val="single" w:sz="4" w:space="0" w:color="4E4E50" w:themeColor="accent2"/>
              <w:left w:val="nil"/>
              <w:bottom w:val="single" w:sz="4" w:space="0" w:color="4E4E50" w:themeColor="accent2"/>
              <w:right w:val="nil"/>
            </w:tcBorders>
            <w:hideMark/>
          </w:tcPr>
          <w:p w14:paraId="150E03A6" w14:textId="77777777" w:rsidR="00476808" w:rsidRPr="004D606B" w:rsidRDefault="00476808" w:rsidP="002F55A8">
            <w:pPr>
              <w:pStyle w:val="TableText"/>
              <w:rPr>
                <w:b/>
                <w:bCs/>
              </w:rPr>
            </w:pPr>
            <w:r>
              <w:rPr>
                <w:b/>
                <w:bCs/>
              </w:rPr>
              <w:t>Complies</w:t>
            </w:r>
          </w:p>
        </w:tc>
      </w:tr>
      <w:tr w:rsidR="00476808" w14:paraId="5DE03D31" w14:textId="77777777" w:rsidTr="00612DAF">
        <w:tc>
          <w:tcPr>
            <w:tcW w:w="1781" w:type="dxa"/>
            <w:tcBorders>
              <w:top w:val="single" w:sz="4" w:space="0" w:color="4E4E50" w:themeColor="accent2"/>
              <w:left w:val="nil"/>
              <w:bottom w:val="single" w:sz="4" w:space="0" w:color="4E4E50" w:themeColor="accent2"/>
              <w:right w:val="nil"/>
            </w:tcBorders>
          </w:tcPr>
          <w:p w14:paraId="74E0C4E8" w14:textId="62FBA4A0" w:rsidR="00476808" w:rsidRDefault="00497CD9" w:rsidP="002F55A8">
            <w:pPr>
              <w:pStyle w:val="TableText"/>
            </w:pPr>
            <w:r>
              <w:lastRenderedPageBreak/>
              <w:t xml:space="preserve">2.4 Contaminated Land Management </w:t>
            </w:r>
          </w:p>
        </w:tc>
        <w:tc>
          <w:tcPr>
            <w:tcW w:w="6499" w:type="dxa"/>
            <w:tcBorders>
              <w:top w:val="single" w:sz="4" w:space="0" w:color="4E4E50" w:themeColor="accent2"/>
              <w:left w:val="nil"/>
              <w:bottom w:val="single" w:sz="4" w:space="0" w:color="4E4E50" w:themeColor="accent2"/>
              <w:right w:val="nil"/>
            </w:tcBorders>
          </w:tcPr>
          <w:p w14:paraId="1D15C380" w14:textId="28F64F0C" w:rsidR="00497CD9" w:rsidRDefault="00B60718" w:rsidP="00497CD9">
            <w:pPr>
              <w:pStyle w:val="TableText"/>
            </w:pPr>
            <w:r>
              <w:t>A PSI</w:t>
            </w:r>
            <w:r w:rsidR="00497CD9">
              <w:t xml:space="preserve"> and</w:t>
            </w:r>
            <w:r>
              <w:t xml:space="preserve"> SCA</w:t>
            </w:r>
            <w:r w:rsidR="00497CD9">
              <w:t xml:space="preserve"> were undertaken as part of the application. Both reports found that there is low potential risk form soil or groundwater contamination to human health of environment on the Site.</w:t>
            </w:r>
          </w:p>
          <w:p w14:paraId="682E2918" w14:textId="66F9B7ED" w:rsidR="00476808" w:rsidRDefault="00497CD9" w:rsidP="00497CD9">
            <w:pPr>
              <w:pStyle w:val="TableText"/>
              <w:rPr>
                <w:szCs w:val="20"/>
              </w:rPr>
            </w:pPr>
            <w:r>
              <w:t>The potential site contamination was considered by Council as part of the internal referrals.  It was considered that the proposed use of the site for a public administration building is consistent with previous use of the site for commercial purposes, and the proposal is satisfactory in terms of remediation and contamination, subject to the recommended conditions of consent.</w:t>
            </w:r>
          </w:p>
        </w:tc>
        <w:tc>
          <w:tcPr>
            <w:tcW w:w="1710" w:type="dxa"/>
            <w:tcBorders>
              <w:top w:val="single" w:sz="4" w:space="0" w:color="4E4E50" w:themeColor="accent2"/>
              <w:left w:val="nil"/>
              <w:bottom w:val="single" w:sz="4" w:space="0" w:color="4E4E50" w:themeColor="accent2"/>
              <w:right w:val="nil"/>
            </w:tcBorders>
            <w:hideMark/>
          </w:tcPr>
          <w:p w14:paraId="4DEB7B26" w14:textId="7CE2A638" w:rsidR="00476808" w:rsidRPr="0096185C" w:rsidRDefault="00ED7796" w:rsidP="002F55A8">
            <w:pPr>
              <w:pStyle w:val="TableText"/>
              <w:rPr>
                <w:b/>
                <w:bCs/>
              </w:rPr>
            </w:pPr>
            <w:r>
              <w:rPr>
                <w:b/>
                <w:bCs/>
              </w:rPr>
              <w:t>Complies</w:t>
            </w:r>
          </w:p>
        </w:tc>
      </w:tr>
      <w:tr w:rsidR="00476808" w14:paraId="7DA69690" w14:textId="77777777" w:rsidTr="00612DAF">
        <w:tc>
          <w:tcPr>
            <w:tcW w:w="1781" w:type="dxa"/>
            <w:tcBorders>
              <w:top w:val="single" w:sz="4" w:space="0" w:color="4E4E50" w:themeColor="accent2"/>
              <w:left w:val="nil"/>
              <w:bottom w:val="single" w:sz="4" w:space="0" w:color="4E4E50" w:themeColor="accent2"/>
              <w:right w:val="nil"/>
            </w:tcBorders>
          </w:tcPr>
          <w:p w14:paraId="7E985936" w14:textId="1CE89EEB" w:rsidR="00476808" w:rsidRDefault="00497CD9" w:rsidP="002F55A8">
            <w:pPr>
              <w:pStyle w:val="TableText"/>
            </w:pPr>
            <w:r>
              <w:t xml:space="preserve">2.5 Flood Management </w:t>
            </w:r>
          </w:p>
        </w:tc>
        <w:tc>
          <w:tcPr>
            <w:tcW w:w="6499" w:type="dxa"/>
            <w:tcBorders>
              <w:top w:val="single" w:sz="4" w:space="0" w:color="4E4E50" w:themeColor="accent2"/>
              <w:left w:val="nil"/>
              <w:bottom w:val="single" w:sz="4" w:space="0" w:color="4E4E50" w:themeColor="accent2"/>
              <w:right w:val="nil"/>
            </w:tcBorders>
          </w:tcPr>
          <w:p w14:paraId="3E04B878" w14:textId="41C9065A" w:rsidR="00476808" w:rsidRDefault="00497CD9" w:rsidP="002F55A8">
            <w:pPr>
              <w:pStyle w:val="TableText"/>
            </w:pPr>
            <w:r>
              <w:t>Refer to assessment against Clause 7.2 of the LEP.</w:t>
            </w:r>
          </w:p>
        </w:tc>
        <w:tc>
          <w:tcPr>
            <w:tcW w:w="1710" w:type="dxa"/>
            <w:tcBorders>
              <w:top w:val="single" w:sz="4" w:space="0" w:color="4E4E50" w:themeColor="accent2"/>
              <w:left w:val="nil"/>
              <w:bottom w:val="single" w:sz="4" w:space="0" w:color="4E4E50" w:themeColor="accent2"/>
              <w:right w:val="nil"/>
            </w:tcBorders>
            <w:hideMark/>
          </w:tcPr>
          <w:p w14:paraId="5625A7E3" w14:textId="77777777" w:rsidR="00476808" w:rsidRPr="00E6415F" w:rsidRDefault="00476808" w:rsidP="002F55A8">
            <w:pPr>
              <w:pStyle w:val="TableText"/>
              <w:rPr>
                <w:b/>
                <w:bCs/>
              </w:rPr>
            </w:pPr>
            <w:r w:rsidRPr="00E6415F">
              <w:rPr>
                <w:b/>
                <w:bCs/>
              </w:rPr>
              <w:t>Complies</w:t>
            </w:r>
          </w:p>
        </w:tc>
      </w:tr>
      <w:tr w:rsidR="00476808" w14:paraId="4ABF28E8" w14:textId="77777777" w:rsidTr="00612DAF">
        <w:tc>
          <w:tcPr>
            <w:tcW w:w="1781" w:type="dxa"/>
            <w:tcBorders>
              <w:top w:val="single" w:sz="4" w:space="0" w:color="4E4E50" w:themeColor="accent2"/>
              <w:left w:val="nil"/>
              <w:bottom w:val="single" w:sz="4" w:space="0" w:color="4E4E50" w:themeColor="accent2"/>
              <w:right w:val="nil"/>
            </w:tcBorders>
          </w:tcPr>
          <w:p w14:paraId="7AEB101D" w14:textId="1C4ED39F" w:rsidR="00476808" w:rsidRDefault="00497CD9" w:rsidP="002F55A8">
            <w:pPr>
              <w:pStyle w:val="TableText"/>
            </w:pPr>
            <w:r>
              <w:t>2.6 Landscaping</w:t>
            </w:r>
          </w:p>
        </w:tc>
        <w:tc>
          <w:tcPr>
            <w:tcW w:w="6499" w:type="dxa"/>
            <w:tcBorders>
              <w:top w:val="single" w:sz="4" w:space="0" w:color="4E4E50" w:themeColor="accent2"/>
              <w:left w:val="nil"/>
              <w:bottom w:val="single" w:sz="4" w:space="0" w:color="4E4E50" w:themeColor="accent2"/>
              <w:right w:val="nil"/>
            </w:tcBorders>
          </w:tcPr>
          <w:p w14:paraId="07183029" w14:textId="77777777" w:rsidR="00497CD9" w:rsidRDefault="00497CD9" w:rsidP="00497CD9">
            <w:pPr>
              <w:pStyle w:val="TableText"/>
            </w:pPr>
            <w:r>
              <w:t xml:space="preserve">The proposed development includes significant landscaping to create a new public plaza on the western side of the building, adjoining ‘The Q’ Performing Arts Centre, and a new public forecourt on the Crawford Street frontage on the eastern side of the building. These spaces are connected by a public laneway on the northern side of the proposed building, which also forms part of the link from the proposed building to the existing Bicentennial Hall. Consistent use of the same hard paving style is noted as contributing to the overall sense of shared public spaces. </w:t>
            </w:r>
          </w:p>
          <w:p w14:paraId="45FC5123" w14:textId="37FF9230" w:rsidR="00497CD9" w:rsidRDefault="00497CD9" w:rsidP="00497CD9">
            <w:pPr>
              <w:pStyle w:val="TableText"/>
            </w:pPr>
            <w:r>
              <w:t xml:space="preserve">Associated soft landscaping is considered to be a substantial improvement to the existing landscape, and the Civic Square will serve to create a new landscape feature in the CBD, as shown in </w:t>
            </w:r>
            <w:r>
              <w:fldChar w:fldCharType="begin"/>
            </w:r>
            <w:r>
              <w:instrText xml:space="preserve"> REF _Ref40821711 \h  \* MERGEFORMAT </w:instrText>
            </w:r>
            <w:r>
              <w:fldChar w:fldCharType="separate"/>
            </w:r>
            <w:r w:rsidR="008F4696" w:rsidRPr="00782F75">
              <w:t xml:space="preserve">Figure </w:t>
            </w:r>
            <w:r w:rsidR="008F4696">
              <w:rPr>
                <w:noProof/>
              </w:rPr>
              <w:t>9</w:t>
            </w:r>
            <w:r>
              <w:fldChar w:fldCharType="end"/>
            </w:r>
            <w:r>
              <w:t>. The Landscape Plan also includes tree planting in the redesigned Lowe Street Car Park, as well as a rooftop garden which is considered to provide good vantage point to view the surrounding area.</w:t>
            </w:r>
          </w:p>
          <w:p w14:paraId="7BC1870D" w14:textId="370D684C" w:rsidR="00497CD9" w:rsidRDefault="00497CD9" w:rsidP="00497CD9">
            <w:pPr>
              <w:pStyle w:val="TableText"/>
            </w:pPr>
            <w:r>
              <w:t xml:space="preserve">The proposed development requires the removal of 7 trees.  The Landscape Plan identifies 12 trees, of which 5 will be retained. </w:t>
            </w:r>
            <w:r w:rsidR="007D667D">
              <w:t xml:space="preserve">The </w:t>
            </w:r>
            <w:r>
              <w:t xml:space="preserve">retained species are pin oaks </w:t>
            </w:r>
            <w:r w:rsidR="007D667D">
              <w:t xml:space="preserve">and one London Plane tree </w:t>
            </w:r>
            <w:r>
              <w:t xml:space="preserve">on the Crawford Street frontage and they will be integrated into the proposed forecourt. </w:t>
            </w:r>
          </w:p>
          <w:p w14:paraId="4A66E7AC" w14:textId="63609441" w:rsidR="00497CD9" w:rsidRPr="00782F75" w:rsidRDefault="00497CD9" w:rsidP="00497CD9">
            <w:pPr>
              <w:pStyle w:val="Caption"/>
            </w:pPr>
            <w:bookmarkStart w:id="41" w:name="_Ref40821711"/>
            <w:bookmarkStart w:id="42" w:name="_Toc48230342"/>
            <w:r w:rsidRPr="00782F75">
              <w:t xml:space="preserve">Figure </w:t>
            </w:r>
            <w:r>
              <w:rPr>
                <w:noProof/>
              </w:rPr>
              <w:fldChar w:fldCharType="begin"/>
            </w:r>
            <w:r>
              <w:rPr>
                <w:noProof/>
              </w:rPr>
              <w:instrText xml:space="preserve"> SEQ Figure \* ARABIC </w:instrText>
            </w:r>
            <w:r>
              <w:rPr>
                <w:noProof/>
              </w:rPr>
              <w:fldChar w:fldCharType="separate"/>
            </w:r>
            <w:r w:rsidR="008F4696">
              <w:rPr>
                <w:noProof/>
              </w:rPr>
              <w:t>9</w:t>
            </w:r>
            <w:r>
              <w:rPr>
                <w:noProof/>
              </w:rPr>
              <w:fldChar w:fldCharType="end"/>
            </w:r>
            <w:bookmarkEnd w:id="41"/>
            <w:r>
              <w:tab/>
              <w:t>Civic Square landscape plan</w:t>
            </w:r>
            <w:bookmarkEnd w:id="42"/>
          </w:p>
          <w:p w14:paraId="68D28554" w14:textId="77777777" w:rsidR="00497CD9" w:rsidRPr="00800FD3" w:rsidRDefault="00497CD9" w:rsidP="00497CD9">
            <w:pPr>
              <w:pStyle w:val="FigureStyle"/>
            </w:pPr>
            <w:r>
              <w:rPr>
                <w:noProof/>
              </w:rPr>
              <w:drawing>
                <wp:inline distT="0" distB="0" distL="0" distR="0" wp14:anchorId="10B2BC14" wp14:editId="744DECF8">
                  <wp:extent cx="4330588" cy="242435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82561" cy="2453452"/>
                          </a:xfrm>
                          <a:prstGeom prst="rect">
                            <a:avLst/>
                          </a:prstGeom>
                          <a:noFill/>
                          <a:ln>
                            <a:noFill/>
                          </a:ln>
                        </pic:spPr>
                      </pic:pic>
                    </a:graphicData>
                  </a:graphic>
                </wp:inline>
              </w:drawing>
            </w:r>
          </w:p>
          <w:p w14:paraId="145BBDAB" w14:textId="1866EE26" w:rsidR="007D667D" w:rsidRDefault="007D667D" w:rsidP="007D667D">
            <w:pPr>
              <w:pStyle w:val="TableText"/>
            </w:pPr>
            <w:r>
              <w:t xml:space="preserve"> Council commissioned a Construction Impact Report, which included a Tree Protection Plan that will be incorporated into approval conditions. </w:t>
            </w:r>
          </w:p>
          <w:p w14:paraId="341947F1" w14:textId="4182CCCB" w:rsidR="00711B9D" w:rsidRPr="009A22AE" w:rsidRDefault="007D667D" w:rsidP="00711B9D">
            <w:pPr>
              <w:pStyle w:val="TableBullet"/>
            </w:pPr>
            <w:r>
              <w:lastRenderedPageBreak/>
              <w:t xml:space="preserve">The Sustainability Report (Appendix H) indicates that the landscape irrigation will comply with drip irrigation with moisture sensor override or use non potable </w:t>
            </w:r>
            <w:proofErr w:type="spellStart"/>
            <w:r>
              <w:t>water.The</w:t>
            </w:r>
            <w:proofErr w:type="spellEnd"/>
            <w:r>
              <w:t xml:space="preserve"> </w:t>
            </w:r>
            <w:r w:rsidR="00711B9D">
              <w:t>Landscape Plan does not include specific waste management plan for public realm</w:t>
            </w:r>
            <w:r>
              <w:t>, however, given the location of the development and its context in the CBD, the waste management will be undertaken as part of the existing civic waste management program.</w:t>
            </w:r>
          </w:p>
        </w:tc>
        <w:tc>
          <w:tcPr>
            <w:tcW w:w="1710" w:type="dxa"/>
            <w:tcBorders>
              <w:top w:val="single" w:sz="4" w:space="0" w:color="4E4E50" w:themeColor="accent2"/>
              <w:left w:val="nil"/>
              <w:bottom w:val="single" w:sz="4" w:space="0" w:color="4E4E50" w:themeColor="accent2"/>
              <w:right w:val="nil"/>
            </w:tcBorders>
          </w:tcPr>
          <w:p w14:paraId="48E9C1DD" w14:textId="77777777" w:rsidR="00476808" w:rsidRPr="00E6415F" w:rsidRDefault="00476808" w:rsidP="002F55A8">
            <w:pPr>
              <w:pStyle w:val="TableText"/>
              <w:rPr>
                <w:b/>
                <w:bCs/>
              </w:rPr>
            </w:pPr>
            <w:r w:rsidRPr="00E6415F">
              <w:rPr>
                <w:b/>
                <w:bCs/>
              </w:rPr>
              <w:lastRenderedPageBreak/>
              <w:t>Complies</w:t>
            </w:r>
          </w:p>
        </w:tc>
      </w:tr>
      <w:tr w:rsidR="00476808" w14:paraId="38C8189F" w14:textId="77777777" w:rsidTr="00612DAF">
        <w:tc>
          <w:tcPr>
            <w:tcW w:w="1781" w:type="dxa"/>
            <w:tcBorders>
              <w:top w:val="single" w:sz="4" w:space="0" w:color="4E4E50" w:themeColor="accent2"/>
              <w:left w:val="nil"/>
              <w:bottom w:val="single" w:sz="4" w:space="0" w:color="4E4E50" w:themeColor="accent2"/>
              <w:right w:val="nil"/>
            </w:tcBorders>
          </w:tcPr>
          <w:p w14:paraId="22911C28" w14:textId="31151231" w:rsidR="00476808" w:rsidRDefault="00711B9D" w:rsidP="002F55A8">
            <w:pPr>
              <w:pStyle w:val="TableText"/>
            </w:pPr>
            <w:r>
              <w:t>2.7 Erosion and Sediment Control</w:t>
            </w:r>
          </w:p>
        </w:tc>
        <w:tc>
          <w:tcPr>
            <w:tcW w:w="6499" w:type="dxa"/>
            <w:tcBorders>
              <w:top w:val="single" w:sz="4" w:space="0" w:color="4E4E50" w:themeColor="accent2"/>
              <w:left w:val="nil"/>
              <w:bottom w:val="single" w:sz="4" w:space="0" w:color="4E4E50" w:themeColor="accent2"/>
              <w:right w:val="nil"/>
            </w:tcBorders>
          </w:tcPr>
          <w:p w14:paraId="0D8FB43D" w14:textId="51F75C0A" w:rsidR="00476808" w:rsidRDefault="00711B9D" w:rsidP="00C11F96">
            <w:pPr>
              <w:pStyle w:val="TableText"/>
            </w:pPr>
            <w:r>
              <w:t xml:space="preserve">The Civil Works Package includes </w:t>
            </w:r>
            <w:r w:rsidR="00D1088D">
              <w:t xml:space="preserve">all relevant details and plans such as </w:t>
            </w:r>
            <w:r>
              <w:t xml:space="preserve">Erosion and Sediment Control </w:t>
            </w:r>
            <w:r w:rsidR="00D1088D">
              <w:t>Plan, Construction Management Plan</w:t>
            </w:r>
            <w:r w:rsidR="00C11F96">
              <w:t xml:space="preserve"> and</w:t>
            </w:r>
            <w:r w:rsidR="00D1088D">
              <w:t xml:space="preserve"> an Upstream Stormwater Diversion Plan </w:t>
            </w:r>
          </w:p>
        </w:tc>
        <w:tc>
          <w:tcPr>
            <w:tcW w:w="1710" w:type="dxa"/>
            <w:tcBorders>
              <w:top w:val="single" w:sz="4" w:space="0" w:color="4E4E50" w:themeColor="accent2"/>
              <w:left w:val="nil"/>
              <w:bottom w:val="single" w:sz="4" w:space="0" w:color="4E4E50" w:themeColor="accent2"/>
              <w:right w:val="nil"/>
            </w:tcBorders>
            <w:hideMark/>
          </w:tcPr>
          <w:p w14:paraId="5D02356A" w14:textId="77777777" w:rsidR="00476808" w:rsidRPr="00E6415F" w:rsidRDefault="00476808" w:rsidP="002F55A8">
            <w:pPr>
              <w:pStyle w:val="TableText"/>
              <w:rPr>
                <w:b/>
                <w:bCs/>
              </w:rPr>
            </w:pPr>
            <w:r w:rsidRPr="00E6415F">
              <w:rPr>
                <w:b/>
                <w:bCs/>
              </w:rPr>
              <w:t>Complies</w:t>
            </w:r>
          </w:p>
        </w:tc>
      </w:tr>
      <w:tr w:rsidR="00476808" w14:paraId="453D9E5D" w14:textId="77777777" w:rsidTr="00612DAF">
        <w:tc>
          <w:tcPr>
            <w:tcW w:w="1781" w:type="dxa"/>
            <w:tcBorders>
              <w:top w:val="single" w:sz="4" w:space="0" w:color="4E4E50" w:themeColor="accent2"/>
              <w:left w:val="nil"/>
              <w:bottom w:val="single" w:sz="4" w:space="0" w:color="4E4E50" w:themeColor="accent2"/>
              <w:right w:val="nil"/>
            </w:tcBorders>
          </w:tcPr>
          <w:p w14:paraId="6F6561ED" w14:textId="301962E7" w:rsidR="00476808" w:rsidRDefault="00D1088D" w:rsidP="002F55A8">
            <w:pPr>
              <w:pStyle w:val="TableText"/>
            </w:pPr>
            <w:r>
              <w:t>2.9 Safe Design</w:t>
            </w:r>
          </w:p>
        </w:tc>
        <w:tc>
          <w:tcPr>
            <w:tcW w:w="6499" w:type="dxa"/>
            <w:tcBorders>
              <w:top w:val="single" w:sz="4" w:space="0" w:color="4E4E50" w:themeColor="accent2"/>
              <w:left w:val="nil"/>
              <w:bottom w:val="single" w:sz="4" w:space="0" w:color="4E4E50" w:themeColor="accent2"/>
              <w:right w:val="nil"/>
            </w:tcBorders>
          </w:tcPr>
          <w:p w14:paraId="725C708B" w14:textId="77777777" w:rsidR="00476808" w:rsidRDefault="00D1088D" w:rsidP="002F55A8">
            <w:pPr>
              <w:pStyle w:val="TableText"/>
            </w:pPr>
            <w:r>
              <w:t>The proposal has been referred to the NSW Police for CPTED assessment and has been determined to be acceptable with some recommendations for conditions of approval.</w:t>
            </w:r>
          </w:p>
          <w:p w14:paraId="78E10CFF" w14:textId="77777777" w:rsidR="00D1088D" w:rsidRDefault="00D1088D" w:rsidP="00D1088D">
            <w:pPr>
              <w:pStyle w:val="TableText"/>
            </w:pPr>
            <w:r>
              <w:t xml:space="preserve">The proposal demonstrates appropriate provision of landscaping, urban design and external lighting to promote safety and casual surveillance for pedestrians and cyclists. The Crawford Street forecourt and new pedestrian plaza at the rear of the building will be overlooked by building occupants during the day time. </w:t>
            </w:r>
          </w:p>
          <w:p w14:paraId="0EDE0D8C" w14:textId="58384367" w:rsidR="00D1088D" w:rsidRDefault="00D1088D" w:rsidP="00D1088D">
            <w:pPr>
              <w:pStyle w:val="TableText"/>
            </w:pPr>
            <w:r>
              <w:t>Public and private spaces are clearly defined in terms of urban design, landscaping and physical access control.</w:t>
            </w:r>
          </w:p>
        </w:tc>
        <w:tc>
          <w:tcPr>
            <w:tcW w:w="1710" w:type="dxa"/>
            <w:tcBorders>
              <w:top w:val="single" w:sz="4" w:space="0" w:color="4E4E50" w:themeColor="accent2"/>
              <w:left w:val="nil"/>
              <w:bottom w:val="single" w:sz="4" w:space="0" w:color="4E4E50" w:themeColor="accent2"/>
              <w:right w:val="nil"/>
            </w:tcBorders>
            <w:hideMark/>
          </w:tcPr>
          <w:p w14:paraId="77BA683B" w14:textId="77777777" w:rsidR="00476808" w:rsidRPr="00E6415F" w:rsidRDefault="00476808" w:rsidP="002F55A8">
            <w:pPr>
              <w:pStyle w:val="TableText"/>
              <w:rPr>
                <w:b/>
                <w:bCs/>
              </w:rPr>
            </w:pPr>
            <w:r w:rsidRPr="00E6415F">
              <w:rPr>
                <w:b/>
                <w:bCs/>
              </w:rPr>
              <w:t>Complies</w:t>
            </w:r>
          </w:p>
        </w:tc>
      </w:tr>
      <w:tr w:rsidR="00476808" w14:paraId="3C882D8A" w14:textId="77777777" w:rsidTr="00612DAF">
        <w:tc>
          <w:tcPr>
            <w:tcW w:w="1781" w:type="dxa"/>
            <w:tcBorders>
              <w:top w:val="single" w:sz="4" w:space="0" w:color="4E4E50" w:themeColor="accent2"/>
              <w:left w:val="nil"/>
              <w:bottom w:val="single" w:sz="4" w:space="0" w:color="4E4E50" w:themeColor="accent2"/>
              <w:right w:val="nil"/>
            </w:tcBorders>
          </w:tcPr>
          <w:p w14:paraId="67F1243C" w14:textId="657440F1" w:rsidR="00476808" w:rsidRDefault="00D1088D" w:rsidP="002F55A8">
            <w:pPr>
              <w:pStyle w:val="TableText"/>
            </w:pPr>
            <w:r>
              <w:t xml:space="preserve">2.12.6 Controls - Land Zoned Residential (R1 to R4 and RU5), Business (B1 to B5), Industrial (IN1 to IN3), Special Use (SP1 to SP3) and RE1 Public Recreation </w:t>
            </w:r>
          </w:p>
        </w:tc>
        <w:tc>
          <w:tcPr>
            <w:tcW w:w="6499" w:type="dxa"/>
            <w:tcBorders>
              <w:top w:val="single" w:sz="4" w:space="0" w:color="4E4E50" w:themeColor="accent2"/>
              <w:left w:val="nil"/>
              <w:bottom w:val="single" w:sz="4" w:space="0" w:color="4E4E50" w:themeColor="accent2"/>
              <w:right w:val="nil"/>
            </w:tcBorders>
          </w:tcPr>
          <w:p w14:paraId="76404195" w14:textId="3BAA7DF2" w:rsidR="00D1088D" w:rsidRDefault="00D1088D" w:rsidP="002F55A8">
            <w:pPr>
              <w:pStyle w:val="TableText"/>
            </w:pPr>
            <w:r>
              <w:t>Insufficient detail is included to determine heights and canopy spread of trees proposed for removal. Pear tree adjacent to Bicentennial Hall appears to have a canopy spread greater than 3m.</w:t>
            </w:r>
          </w:p>
          <w:p w14:paraId="2D1CC938" w14:textId="67701DCB" w:rsidR="00476808" w:rsidRDefault="00D1088D" w:rsidP="002F55A8">
            <w:pPr>
              <w:pStyle w:val="TableText"/>
            </w:pPr>
            <w:r>
              <w:t xml:space="preserve">Council’s Tree Protection Officer provided a Construction Impact Report that was commissioned by Council in September 2019. It includes a Tree Protection Plan. The Report </w:t>
            </w:r>
            <w:r w:rsidR="007D667D">
              <w:t xml:space="preserve">included recommendations for the protection and retention of the trees fronting Crawford Street, including the London Plane tree that is within the site boundary. </w:t>
            </w:r>
          </w:p>
        </w:tc>
        <w:tc>
          <w:tcPr>
            <w:tcW w:w="1710" w:type="dxa"/>
            <w:tcBorders>
              <w:top w:val="single" w:sz="4" w:space="0" w:color="4E4E50" w:themeColor="accent2"/>
              <w:left w:val="nil"/>
              <w:bottom w:val="single" w:sz="4" w:space="0" w:color="4E4E50" w:themeColor="accent2"/>
              <w:right w:val="nil"/>
            </w:tcBorders>
            <w:hideMark/>
          </w:tcPr>
          <w:p w14:paraId="446046C8" w14:textId="37177823" w:rsidR="00476808" w:rsidRPr="00DE7C08" w:rsidRDefault="00D1088D" w:rsidP="002F55A8">
            <w:pPr>
              <w:pStyle w:val="TableText"/>
              <w:rPr>
                <w:b/>
                <w:bCs/>
              </w:rPr>
            </w:pPr>
            <w:r>
              <w:rPr>
                <w:b/>
                <w:bCs/>
              </w:rPr>
              <w:t>Not Determined</w:t>
            </w:r>
          </w:p>
        </w:tc>
      </w:tr>
      <w:tr w:rsidR="00476808" w14:paraId="4506C347" w14:textId="77777777" w:rsidTr="00612DAF">
        <w:tc>
          <w:tcPr>
            <w:tcW w:w="1781" w:type="dxa"/>
            <w:tcBorders>
              <w:top w:val="single" w:sz="4" w:space="0" w:color="4E4E50" w:themeColor="accent2"/>
              <w:left w:val="nil"/>
              <w:bottom w:val="single" w:sz="4" w:space="0" w:color="4E4E50" w:themeColor="accent2"/>
              <w:right w:val="nil"/>
            </w:tcBorders>
          </w:tcPr>
          <w:p w14:paraId="4F47DA87" w14:textId="7784AFD9" w:rsidR="00476808" w:rsidRDefault="00D1088D" w:rsidP="002F55A8">
            <w:pPr>
              <w:pStyle w:val="TableText"/>
            </w:pPr>
            <w:r>
              <w:t xml:space="preserve">4.4.13 Signage Panels </w:t>
            </w:r>
          </w:p>
        </w:tc>
        <w:tc>
          <w:tcPr>
            <w:tcW w:w="6499" w:type="dxa"/>
            <w:tcBorders>
              <w:top w:val="single" w:sz="4" w:space="0" w:color="4E4E50" w:themeColor="accent2"/>
              <w:left w:val="nil"/>
              <w:bottom w:val="single" w:sz="4" w:space="0" w:color="4E4E50" w:themeColor="accent2"/>
              <w:right w:val="nil"/>
            </w:tcBorders>
          </w:tcPr>
          <w:p w14:paraId="5B7DD220" w14:textId="71394821" w:rsidR="00476808" w:rsidRDefault="00D1088D" w:rsidP="002F55A8">
            <w:pPr>
              <w:pStyle w:val="TableText"/>
            </w:pPr>
            <w:r>
              <w:t xml:space="preserve">Council logo signage is proposed, facing into the forecourt and within the above building overhang. The proposed signage location is not considered to have a negative impact on </w:t>
            </w:r>
            <w:r w:rsidR="00B60718">
              <w:t xml:space="preserve">the </w:t>
            </w:r>
            <w:r>
              <w:t>heritage character of surrounding buildings or the Crawford Street streetscape.</w:t>
            </w:r>
          </w:p>
          <w:p w14:paraId="2084D806" w14:textId="77777777" w:rsidR="00D1088D" w:rsidRDefault="00D1088D" w:rsidP="00D1088D">
            <w:pPr>
              <w:pStyle w:val="TableText"/>
            </w:pPr>
            <w:r>
              <w:t xml:space="preserve">Commercial signage is proposed for parts of the windows of commercial tenancies at the rear of the building, facing the public plaza. </w:t>
            </w:r>
          </w:p>
          <w:p w14:paraId="7F1ECF3F" w14:textId="236021C4" w:rsidR="00D1088D" w:rsidRDefault="00D1088D" w:rsidP="00D1088D">
            <w:pPr>
              <w:pStyle w:val="TableText"/>
            </w:pPr>
            <w:r>
              <w:t>This location, size and semi-transparent nature of signage is considered appropriate.</w:t>
            </w:r>
          </w:p>
        </w:tc>
        <w:tc>
          <w:tcPr>
            <w:tcW w:w="1710" w:type="dxa"/>
            <w:tcBorders>
              <w:top w:val="single" w:sz="4" w:space="0" w:color="4E4E50" w:themeColor="accent2"/>
              <w:left w:val="nil"/>
              <w:bottom w:val="single" w:sz="4" w:space="0" w:color="4E4E50" w:themeColor="accent2"/>
              <w:right w:val="nil"/>
            </w:tcBorders>
            <w:hideMark/>
          </w:tcPr>
          <w:p w14:paraId="5C019D92" w14:textId="77777777" w:rsidR="00476808" w:rsidRPr="00DE7C08" w:rsidRDefault="00476808" w:rsidP="002F55A8">
            <w:pPr>
              <w:pStyle w:val="TableText"/>
              <w:rPr>
                <w:b/>
                <w:bCs/>
              </w:rPr>
            </w:pPr>
            <w:r w:rsidRPr="00DE7C08">
              <w:rPr>
                <w:b/>
                <w:bCs/>
              </w:rPr>
              <w:t xml:space="preserve">Complies </w:t>
            </w:r>
          </w:p>
        </w:tc>
      </w:tr>
      <w:tr w:rsidR="00476808" w14:paraId="1FE1F7FD" w14:textId="77777777" w:rsidTr="00612DAF">
        <w:tc>
          <w:tcPr>
            <w:tcW w:w="1781" w:type="dxa"/>
            <w:tcBorders>
              <w:top w:val="single" w:sz="4" w:space="0" w:color="4E4E50" w:themeColor="accent2"/>
              <w:left w:val="nil"/>
              <w:bottom w:val="single" w:sz="4" w:space="0" w:color="4E4E50" w:themeColor="accent2"/>
              <w:right w:val="nil"/>
            </w:tcBorders>
          </w:tcPr>
          <w:p w14:paraId="2F7E6172" w14:textId="2A843806" w:rsidR="00476808" w:rsidRDefault="00D1088D" w:rsidP="002F55A8">
            <w:pPr>
              <w:pStyle w:val="TableText"/>
            </w:pPr>
            <w:r>
              <w:t xml:space="preserve">4.5 Alterations and Additions to Heritage Items and to All Places in the Heritage Conservation Area and the Vicinity </w:t>
            </w:r>
          </w:p>
        </w:tc>
        <w:tc>
          <w:tcPr>
            <w:tcW w:w="6499" w:type="dxa"/>
            <w:tcBorders>
              <w:top w:val="single" w:sz="4" w:space="0" w:color="4E4E50" w:themeColor="accent2"/>
              <w:left w:val="nil"/>
              <w:bottom w:val="single" w:sz="4" w:space="0" w:color="4E4E50" w:themeColor="accent2"/>
              <w:right w:val="nil"/>
            </w:tcBorders>
          </w:tcPr>
          <w:p w14:paraId="1A0FBBF1" w14:textId="22306BC3" w:rsidR="00D1088D" w:rsidRDefault="00D1088D" w:rsidP="00D1088D">
            <w:pPr>
              <w:pStyle w:val="TableText"/>
            </w:pPr>
            <w:r>
              <w:t>The pr</w:t>
            </w:r>
            <w:r w:rsidR="00B60718">
              <w:t>oposal does not propose any alterations</w:t>
            </w:r>
            <w:r>
              <w:t xml:space="preserve"> or additions to heritage items. It does propose works in the immediate vicinity of two heritage items. </w:t>
            </w:r>
          </w:p>
          <w:p w14:paraId="461B0A27" w14:textId="4749BFFA" w:rsidR="00B508BF" w:rsidRDefault="00B508BF" w:rsidP="00B508BF">
            <w:pPr>
              <w:pStyle w:val="TableText"/>
            </w:pPr>
            <w:r>
              <w:t>The proposed office building is linked via a mezzanine pavilion which connects to the Bicentennial Ha</w:t>
            </w:r>
            <w:r w:rsidR="00B60718">
              <w:t>l</w:t>
            </w:r>
            <w:r>
              <w:t>l, which is not a heritage item.</w:t>
            </w:r>
          </w:p>
          <w:p w14:paraId="68A9BB87" w14:textId="745476FE" w:rsidR="00D1088D" w:rsidRDefault="00D1088D" w:rsidP="00B508BF">
            <w:pPr>
              <w:pStyle w:val="TableText"/>
            </w:pPr>
            <w:r>
              <w:t xml:space="preserve">Ground floor materials include red brick to reference the surrounding heritage items. </w:t>
            </w:r>
            <w:r w:rsidR="00B508BF">
              <w:t>The intent and treatment of the proposed forecourt</w:t>
            </w:r>
            <w:r w:rsidR="00B60718">
              <w:t>,</w:t>
            </w:r>
            <w:r w:rsidR="00B508BF">
              <w:t xml:space="preserve"> to setback the proposed building and include softer urban design works</w:t>
            </w:r>
            <w:r w:rsidR="00B60718">
              <w:t>,</w:t>
            </w:r>
            <w:r w:rsidR="00B508BF">
              <w:t xml:space="preserve"> is considered an appropriate measure to reduce visual dominance </w:t>
            </w:r>
            <w:r w:rsidR="00412C88">
              <w:t xml:space="preserve">at </w:t>
            </w:r>
            <w:r w:rsidR="00B508BF">
              <w:t>street level. The original form o</w:t>
            </w:r>
            <w:r w:rsidR="00B60718">
              <w:t>f the adjacent heritage items</w:t>
            </w:r>
            <w:r w:rsidR="00B508BF">
              <w:t xml:space="preserve"> remains clearly identifiable and physically separated from the proposed building. </w:t>
            </w:r>
          </w:p>
          <w:p w14:paraId="3FF96A31" w14:textId="75C0A58B" w:rsidR="00B508BF" w:rsidRDefault="00B508BF" w:rsidP="00B508BF">
            <w:pPr>
              <w:pStyle w:val="TableText"/>
            </w:pPr>
            <w:r>
              <w:lastRenderedPageBreak/>
              <w:t>The proposed structure is significantly larger in terms of scale, height and bulk when compared to adjacent heritage items. However, it has been assessed as not having adverse impacts on the adjacent heritage items as discussed in Clause 5.10 of the QLEP</w:t>
            </w:r>
            <w:r w:rsidR="00B60718">
              <w:t xml:space="preserve"> 2012</w:t>
            </w:r>
            <w:r>
              <w:t>.</w:t>
            </w:r>
          </w:p>
          <w:p w14:paraId="03430571" w14:textId="170EBFC8" w:rsidR="00476808" w:rsidRDefault="00D1088D" w:rsidP="00D1088D">
            <w:pPr>
              <w:pStyle w:val="TableText"/>
            </w:pPr>
            <w:r>
              <w:t>The proposal includes a Statement of Heritage Impact which was generally accepted by the Heritage Committee.</w:t>
            </w:r>
            <w:r w:rsidR="00B508BF">
              <w:t xml:space="preserve"> The request for greater separation from the fire station and restricted use of the service lane is noted.</w:t>
            </w:r>
          </w:p>
        </w:tc>
        <w:tc>
          <w:tcPr>
            <w:tcW w:w="1710" w:type="dxa"/>
            <w:tcBorders>
              <w:top w:val="single" w:sz="4" w:space="0" w:color="4E4E50" w:themeColor="accent2"/>
              <w:left w:val="nil"/>
              <w:bottom w:val="single" w:sz="4" w:space="0" w:color="4E4E50" w:themeColor="accent2"/>
              <w:right w:val="nil"/>
            </w:tcBorders>
            <w:hideMark/>
          </w:tcPr>
          <w:p w14:paraId="3D34710E" w14:textId="77777777" w:rsidR="00476808" w:rsidRPr="00DE7C08" w:rsidRDefault="00476808" w:rsidP="002F55A8">
            <w:pPr>
              <w:pStyle w:val="TableText"/>
              <w:rPr>
                <w:b/>
                <w:bCs/>
              </w:rPr>
            </w:pPr>
            <w:r w:rsidRPr="00DE7C08">
              <w:rPr>
                <w:b/>
                <w:bCs/>
              </w:rPr>
              <w:lastRenderedPageBreak/>
              <w:t>Complies</w:t>
            </w:r>
          </w:p>
        </w:tc>
      </w:tr>
      <w:tr w:rsidR="00B508BF" w14:paraId="141685C0" w14:textId="77777777" w:rsidTr="00612DAF">
        <w:tc>
          <w:tcPr>
            <w:tcW w:w="1781" w:type="dxa"/>
            <w:tcBorders>
              <w:top w:val="single" w:sz="4" w:space="0" w:color="4E4E50" w:themeColor="accent2"/>
              <w:left w:val="nil"/>
              <w:bottom w:val="single" w:sz="4" w:space="0" w:color="4E4E50" w:themeColor="accent2"/>
              <w:right w:val="nil"/>
            </w:tcBorders>
          </w:tcPr>
          <w:p w14:paraId="72FAE397" w14:textId="495FF0D2" w:rsidR="00B508BF" w:rsidRDefault="00B508BF" w:rsidP="002F55A8">
            <w:pPr>
              <w:pStyle w:val="TableText"/>
            </w:pPr>
            <w:r>
              <w:t>4.6 New buildings in the vicinity of a Heritage Items</w:t>
            </w:r>
          </w:p>
        </w:tc>
        <w:tc>
          <w:tcPr>
            <w:tcW w:w="6499" w:type="dxa"/>
            <w:tcBorders>
              <w:top w:val="single" w:sz="4" w:space="0" w:color="4E4E50" w:themeColor="accent2"/>
              <w:left w:val="nil"/>
              <w:bottom w:val="single" w:sz="4" w:space="0" w:color="4E4E50" w:themeColor="accent2"/>
              <w:right w:val="nil"/>
            </w:tcBorders>
          </w:tcPr>
          <w:p w14:paraId="5E812947" w14:textId="72A8A671" w:rsidR="00B508BF" w:rsidRDefault="00B508BF" w:rsidP="00D1088D">
            <w:pPr>
              <w:pStyle w:val="TableText"/>
            </w:pPr>
            <w:r>
              <w:t>The proposed building has been assessed against the controls of Part 4.6 and is considered consistent, noting the following:</w:t>
            </w:r>
          </w:p>
          <w:p w14:paraId="4B064100" w14:textId="01DEF53F" w:rsidR="00B508BF" w:rsidRDefault="00B508BF" w:rsidP="00B508BF">
            <w:pPr>
              <w:pStyle w:val="TableBullet"/>
            </w:pPr>
            <w:r>
              <w:t>The proposed structure is significantly larger in terms of scale, height and bulk when compared to adjacent heritage items. However, it has been assessed as not having adverse impacts on the adjacent heritage items as discussed in Clause 5.10 of the QLEP</w:t>
            </w:r>
            <w:r w:rsidR="00975060">
              <w:t xml:space="preserve"> 2012</w:t>
            </w:r>
            <w:r>
              <w:t>.</w:t>
            </w:r>
          </w:p>
          <w:p w14:paraId="2EFFE02E" w14:textId="473C2F61" w:rsidR="00B508BF" w:rsidRDefault="00B508BF" w:rsidP="00B508BF">
            <w:pPr>
              <w:pStyle w:val="TableBullet"/>
            </w:pPr>
            <w:r>
              <w:t xml:space="preserve">The proposed consolidation of blocks and large frontage across Crawford Street is balanced with the width of existing and proposed structures. The proposed building has a similar width to the adjacent School of Arts building and includes visual breaks to punctuate the streetscape and identify separate buildings.  </w:t>
            </w:r>
          </w:p>
          <w:p w14:paraId="1DFA0F98" w14:textId="18064441" w:rsidR="00B508BF" w:rsidRDefault="00B508BF" w:rsidP="00D1088D">
            <w:pPr>
              <w:pStyle w:val="TableText"/>
            </w:pPr>
            <w:r>
              <w:t>The proposal includes a Statement of Heritage Impact which was generally accepted by the Heritage Committee. The request for greater separation from the fire station and restricted use of the service lane is noted.</w:t>
            </w:r>
          </w:p>
        </w:tc>
        <w:tc>
          <w:tcPr>
            <w:tcW w:w="1710" w:type="dxa"/>
            <w:tcBorders>
              <w:top w:val="single" w:sz="4" w:space="0" w:color="4E4E50" w:themeColor="accent2"/>
              <w:left w:val="nil"/>
              <w:bottom w:val="single" w:sz="4" w:space="0" w:color="4E4E50" w:themeColor="accent2"/>
              <w:right w:val="nil"/>
            </w:tcBorders>
          </w:tcPr>
          <w:p w14:paraId="1D34F7E3" w14:textId="7DB29083" w:rsidR="00B508BF" w:rsidRPr="00DE7C08" w:rsidRDefault="00B508BF" w:rsidP="002F55A8">
            <w:pPr>
              <w:pStyle w:val="TableText"/>
              <w:rPr>
                <w:b/>
                <w:bCs/>
              </w:rPr>
            </w:pPr>
            <w:r>
              <w:rPr>
                <w:b/>
                <w:bCs/>
              </w:rPr>
              <w:t xml:space="preserve">Complies </w:t>
            </w:r>
          </w:p>
        </w:tc>
      </w:tr>
      <w:tr w:rsidR="00185444" w14:paraId="3F23D42A" w14:textId="77777777" w:rsidTr="00612DAF">
        <w:tc>
          <w:tcPr>
            <w:tcW w:w="1781" w:type="dxa"/>
            <w:tcBorders>
              <w:top w:val="single" w:sz="4" w:space="0" w:color="4E4E50" w:themeColor="accent2"/>
              <w:left w:val="nil"/>
              <w:bottom w:val="single" w:sz="4" w:space="0" w:color="4E4E50" w:themeColor="accent2"/>
              <w:right w:val="nil"/>
            </w:tcBorders>
          </w:tcPr>
          <w:p w14:paraId="6BE8EBB3" w14:textId="558BAE4B" w:rsidR="00185444" w:rsidRDefault="00185444" w:rsidP="002F55A8">
            <w:pPr>
              <w:pStyle w:val="TableText"/>
            </w:pPr>
            <w:r>
              <w:t xml:space="preserve">4.9 Subdivision of land </w:t>
            </w:r>
          </w:p>
        </w:tc>
        <w:tc>
          <w:tcPr>
            <w:tcW w:w="6499" w:type="dxa"/>
            <w:tcBorders>
              <w:top w:val="single" w:sz="4" w:space="0" w:color="4E4E50" w:themeColor="accent2"/>
              <w:left w:val="nil"/>
              <w:bottom w:val="single" w:sz="4" w:space="0" w:color="4E4E50" w:themeColor="accent2"/>
              <w:right w:val="nil"/>
            </w:tcBorders>
          </w:tcPr>
          <w:p w14:paraId="22C5E149" w14:textId="77777777" w:rsidR="00185444" w:rsidRDefault="00185444" w:rsidP="00185444">
            <w:pPr>
              <w:pStyle w:val="TableText"/>
            </w:pPr>
            <w:r>
              <w:t xml:space="preserve">The proposed consolidation of blocks and large frontage across Crawford Street is balanced with the width of existing and proposed structures. The proposed building has a similar width to the adjacent School of Arts building and includes visual breaks to punctuate the streetscape and identify separate buildings. </w:t>
            </w:r>
          </w:p>
          <w:p w14:paraId="61A71AC6" w14:textId="1C607C7F" w:rsidR="00185444" w:rsidRDefault="00185444" w:rsidP="00185444">
            <w:pPr>
              <w:pStyle w:val="TableText"/>
            </w:pPr>
            <w:r>
              <w:t>The Heritage referral is noted requesting greater separation from the fire station and restricted use of the service lane.</w:t>
            </w:r>
          </w:p>
        </w:tc>
        <w:tc>
          <w:tcPr>
            <w:tcW w:w="1710" w:type="dxa"/>
            <w:tcBorders>
              <w:top w:val="single" w:sz="4" w:space="0" w:color="4E4E50" w:themeColor="accent2"/>
              <w:left w:val="nil"/>
              <w:bottom w:val="single" w:sz="4" w:space="0" w:color="4E4E50" w:themeColor="accent2"/>
              <w:right w:val="nil"/>
            </w:tcBorders>
          </w:tcPr>
          <w:p w14:paraId="034809B3" w14:textId="77777777" w:rsidR="00185444" w:rsidRPr="00266A89" w:rsidRDefault="00185444" w:rsidP="00185444">
            <w:pPr>
              <w:pStyle w:val="TableText"/>
              <w:rPr>
                <w:b/>
                <w:bCs/>
              </w:rPr>
            </w:pPr>
            <w:r w:rsidRPr="00266A89">
              <w:rPr>
                <w:b/>
                <w:bCs/>
              </w:rPr>
              <w:t xml:space="preserve">Justified inconsistency </w:t>
            </w:r>
          </w:p>
          <w:p w14:paraId="62BB1BBC" w14:textId="77777777" w:rsidR="00185444" w:rsidRDefault="00185444" w:rsidP="002F55A8">
            <w:pPr>
              <w:pStyle w:val="TableText"/>
              <w:rPr>
                <w:b/>
                <w:bCs/>
              </w:rPr>
            </w:pPr>
          </w:p>
        </w:tc>
      </w:tr>
      <w:tr w:rsidR="00B508BF" w14:paraId="295EC1FD" w14:textId="77777777" w:rsidTr="00612DAF">
        <w:tc>
          <w:tcPr>
            <w:tcW w:w="1781" w:type="dxa"/>
            <w:tcBorders>
              <w:top w:val="single" w:sz="4" w:space="0" w:color="4E4E50" w:themeColor="accent2"/>
              <w:left w:val="nil"/>
              <w:bottom w:val="single" w:sz="4" w:space="0" w:color="4E4E50" w:themeColor="accent2"/>
              <w:right w:val="nil"/>
            </w:tcBorders>
          </w:tcPr>
          <w:p w14:paraId="026C9E3A" w14:textId="0B4549EB" w:rsidR="00B508BF" w:rsidRDefault="00B508BF" w:rsidP="002F55A8">
            <w:pPr>
              <w:pStyle w:val="TableText"/>
            </w:pPr>
            <w:r>
              <w:t>6.2.1 Site Design and Sense of Place</w:t>
            </w:r>
          </w:p>
        </w:tc>
        <w:tc>
          <w:tcPr>
            <w:tcW w:w="6499" w:type="dxa"/>
            <w:tcBorders>
              <w:top w:val="single" w:sz="4" w:space="0" w:color="4E4E50" w:themeColor="accent2"/>
              <w:left w:val="nil"/>
              <w:bottom w:val="single" w:sz="4" w:space="0" w:color="4E4E50" w:themeColor="accent2"/>
              <w:right w:val="nil"/>
            </w:tcBorders>
          </w:tcPr>
          <w:p w14:paraId="08E7A37B" w14:textId="55476DD6" w:rsidR="00B508BF" w:rsidRDefault="00B508BF" w:rsidP="00D1088D">
            <w:pPr>
              <w:pStyle w:val="TableText"/>
            </w:pPr>
            <w:r>
              <w:t>The proposed building has a high-quality design that responds to its prominent location and role. The main role of the proposed building is public administration and a hub for community activities. It proposes to establish a central civic square and forecourt to provide spaces for people to engage in public life, and creates a high level of pedestrian amenity.</w:t>
            </w:r>
          </w:p>
          <w:p w14:paraId="1BFEC90D" w14:textId="0042EFBE" w:rsidR="00B508BF" w:rsidRDefault="00B508BF" w:rsidP="00D1088D">
            <w:pPr>
              <w:pStyle w:val="TableText"/>
            </w:pPr>
            <w:r>
              <w:t>The subject site is not identified for a ‘gateway’ development. However, the proposal is considered to represent outstanding architectural merit</w:t>
            </w:r>
            <w:r w:rsidR="00533619">
              <w:t>.</w:t>
            </w:r>
            <w:r>
              <w:t xml:space="preserve"> </w:t>
            </w:r>
          </w:p>
        </w:tc>
        <w:tc>
          <w:tcPr>
            <w:tcW w:w="1710" w:type="dxa"/>
            <w:tcBorders>
              <w:top w:val="single" w:sz="4" w:space="0" w:color="4E4E50" w:themeColor="accent2"/>
              <w:left w:val="nil"/>
              <w:bottom w:val="single" w:sz="4" w:space="0" w:color="4E4E50" w:themeColor="accent2"/>
              <w:right w:val="nil"/>
            </w:tcBorders>
          </w:tcPr>
          <w:p w14:paraId="1873B11F" w14:textId="1290A77F" w:rsidR="00B508BF" w:rsidRDefault="00B508BF" w:rsidP="002F55A8">
            <w:pPr>
              <w:pStyle w:val="TableText"/>
              <w:rPr>
                <w:b/>
                <w:bCs/>
              </w:rPr>
            </w:pPr>
            <w:r>
              <w:rPr>
                <w:b/>
                <w:bCs/>
              </w:rPr>
              <w:t>Complies</w:t>
            </w:r>
          </w:p>
        </w:tc>
      </w:tr>
      <w:tr w:rsidR="00B508BF" w14:paraId="139E0D4B" w14:textId="77777777" w:rsidTr="00612DAF">
        <w:tc>
          <w:tcPr>
            <w:tcW w:w="1781" w:type="dxa"/>
            <w:tcBorders>
              <w:top w:val="single" w:sz="4" w:space="0" w:color="4E4E50" w:themeColor="accent2"/>
              <w:left w:val="nil"/>
              <w:bottom w:val="single" w:sz="4" w:space="0" w:color="4E4E50" w:themeColor="accent2"/>
              <w:right w:val="nil"/>
            </w:tcBorders>
          </w:tcPr>
          <w:p w14:paraId="6A04B9AC" w14:textId="0D4252C7" w:rsidR="00B508BF" w:rsidRDefault="00B508BF" w:rsidP="002F55A8">
            <w:pPr>
              <w:pStyle w:val="TableText"/>
            </w:pPr>
            <w:r>
              <w:t>6.2.2 Building Height Limits and Setbacks Design for Buildings</w:t>
            </w:r>
          </w:p>
        </w:tc>
        <w:tc>
          <w:tcPr>
            <w:tcW w:w="6499" w:type="dxa"/>
            <w:tcBorders>
              <w:top w:val="single" w:sz="4" w:space="0" w:color="4E4E50" w:themeColor="accent2"/>
              <w:left w:val="nil"/>
              <w:bottom w:val="single" w:sz="4" w:space="0" w:color="4E4E50" w:themeColor="accent2"/>
              <w:right w:val="nil"/>
            </w:tcBorders>
          </w:tcPr>
          <w:p w14:paraId="79EBC90B" w14:textId="001AA273" w:rsidR="00642489" w:rsidRDefault="00642489" w:rsidP="00642489">
            <w:pPr>
              <w:pStyle w:val="TableText"/>
            </w:pPr>
            <w:r>
              <w:t>The proposal provides sufficient environmental grounds and demonstrates cohesiveness with the objectives of Clause 4.3 of the QLEP 2012 as discussed in the LEP assessment, including the Clause 4.6 variation request.</w:t>
            </w:r>
          </w:p>
          <w:p w14:paraId="08C9A786" w14:textId="7F2FC6FF" w:rsidR="00C5398E" w:rsidRDefault="00533619" w:rsidP="00642489">
            <w:pPr>
              <w:pStyle w:val="TableText"/>
            </w:pPr>
            <w:r>
              <w:t>The QDCP includes setbacks to Crawford Street</w:t>
            </w:r>
            <w:r w:rsidR="00C5398E">
              <w:t xml:space="preserve"> based on the number of storeys of the building from zero for up to two storeys to 20m for buildings with 3-8 stories.</w:t>
            </w:r>
          </w:p>
          <w:p w14:paraId="3B8230AD" w14:textId="4906F1A5" w:rsidR="00610F22" w:rsidRDefault="00C5398E" w:rsidP="00642489">
            <w:pPr>
              <w:pStyle w:val="TableText"/>
            </w:pPr>
            <w:r>
              <w:t xml:space="preserve">The proposal includes a variable front setback ranging from 4.93m at the closest point of to 14.7m to create the civic forecourt </w:t>
            </w:r>
            <w:r w:rsidR="00610F22">
              <w:t xml:space="preserve">and entry </w:t>
            </w:r>
            <w:r>
              <w:t xml:space="preserve">to the building. </w:t>
            </w:r>
            <w:r w:rsidR="00610F22">
              <w:t xml:space="preserve">The fire station adjoins the site to the east and Council Chambers to the west are both at a zero setback.  Only a small portion </w:t>
            </w:r>
            <w:r w:rsidR="00610F22">
              <w:lastRenderedPageBreak/>
              <w:t>(less than 10%) of the Crawford Street frontage is setback at 4.93m.  The remainder of the built form achieves a setback of at least 14.7m at ground level.</w:t>
            </w:r>
          </w:p>
          <w:p w14:paraId="5253F29F" w14:textId="43211F73" w:rsidR="00B508BF" w:rsidRDefault="00642489" w:rsidP="00642489">
            <w:pPr>
              <w:pStyle w:val="TableText"/>
            </w:pPr>
            <w:r>
              <w:t xml:space="preserve"> The reduced setback is considered appropriate given the associated public realm enhancements and overall architectural merit. </w:t>
            </w:r>
          </w:p>
        </w:tc>
        <w:tc>
          <w:tcPr>
            <w:tcW w:w="1710" w:type="dxa"/>
            <w:tcBorders>
              <w:top w:val="single" w:sz="4" w:space="0" w:color="4E4E50" w:themeColor="accent2"/>
              <w:left w:val="nil"/>
              <w:bottom w:val="single" w:sz="4" w:space="0" w:color="4E4E50" w:themeColor="accent2"/>
              <w:right w:val="nil"/>
            </w:tcBorders>
          </w:tcPr>
          <w:p w14:paraId="798F9041" w14:textId="09B8AD19" w:rsidR="00B508BF" w:rsidRDefault="00B508BF" w:rsidP="002F55A8">
            <w:pPr>
              <w:pStyle w:val="TableText"/>
              <w:rPr>
                <w:b/>
                <w:bCs/>
              </w:rPr>
            </w:pPr>
            <w:r>
              <w:rPr>
                <w:b/>
                <w:bCs/>
              </w:rPr>
              <w:lastRenderedPageBreak/>
              <w:t xml:space="preserve">Complies </w:t>
            </w:r>
          </w:p>
        </w:tc>
      </w:tr>
      <w:tr w:rsidR="00642489" w14:paraId="47CF8465" w14:textId="77777777" w:rsidTr="00612DAF">
        <w:tc>
          <w:tcPr>
            <w:tcW w:w="1781" w:type="dxa"/>
            <w:tcBorders>
              <w:top w:val="single" w:sz="4" w:space="0" w:color="4E4E50" w:themeColor="accent2"/>
              <w:left w:val="nil"/>
              <w:bottom w:val="single" w:sz="4" w:space="0" w:color="4E4E50" w:themeColor="accent2"/>
              <w:right w:val="nil"/>
            </w:tcBorders>
          </w:tcPr>
          <w:p w14:paraId="27B1100B" w14:textId="492791A3" w:rsidR="00642489" w:rsidRDefault="00642489" w:rsidP="002F55A8">
            <w:pPr>
              <w:pStyle w:val="TableText"/>
            </w:pPr>
            <w:r>
              <w:t xml:space="preserve">6.2.3 Architectural Character </w:t>
            </w:r>
          </w:p>
        </w:tc>
        <w:tc>
          <w:tcPr>
            <w:tcW w:w="6499" w:type="dxa"/>
            <w:tcBorders>
              <w:top w:val="single" w:sz="4" w:space="0" w:color="4E4E50" w:themeColor="accent2"/>
              <w:left w:val="nil"/>
              <w:bottom w:val="single" w:sz="4" w:space="0" w:color="4E4E50" w:themeColor="accent2"/>
              <w:right w:val="nil"/>
            </w:tcBorders>
          </w:tcPr>
          <w:p w14:paraId="103756B9" w14:textId="74C5F7B9" w:rsidR="00642489" w:rsidRDefault="00642489" w:rsidP="00642489">
            <w:pPr>
              <w:pStyle w:val="TableText"/>
            </w:pPr>
            <w:r>
              <w:t>The proposal includes horizontal articulation between windows to indicate level changes. Windows are generally on the same plane as the main façade, but are broken up with frames, louvres and sunshades.</w:t>
            </w:r>
          </w:p>
          <w:p w14:paraId="3F68DFEC" w14:textId="30E029C7" w:rsidR="00642489" w:rsidRDefault="00642489" w:rsidP="00642489">
            <w:pPr>
              <w:pStyle w:val="TableText"/>
            </w:pPr>
            <w:r>
              <w:t>The proposed building includes a several roof levels which incorporate visually interesting elements such as a rooftop garden, screening for rooftop plan</w:t>
            </w:r>
            <w:r w:rsidR="00412C88">
              <w:t>t</w:t>
            </w:r>
            <w:r>
              <w:t>, and the potential for phot</w:t>
            </w:r>
            <w:r w:rsidR="00412C88">
              <w:t>o</w:t>
            </w:r>
            <w:r>
              <w:t xml:space="preserve"> voltaic plates.</w:t>
            </w:r>
          </w:p>
          <w:p w14:paraId="4EC148A4" w14:textId="288D213D" w:rsidR="00642489" w:rsidRPr="00642489" w:rsidRDefault="00642489" w:rsidP="00642489">
            <w:pPr>
              <w:pStyle w:val="TableText"/>
              <w:rPr>
                <w:b/>
                <w:bCs/>
              </w:rPr>
            </w:pPr>
            <w:r>
              <w:t>A variety of materials and texture have been incorporated into the design including brick, off form concrete, glass and steel. Materials and finishes selection include appropriate low maintenance materials.</w:t>
            </w:r>
          </w:p>
        </w:tc>
        <w:tc>
          <w:tcPr>
            <w:tcW w:w="1710" w:type="dxa"/>
            <w:tcBorders>
              <w:top w:val="single" w:sz="4" w:space="0" w:color="4E4E50" w:themeColor="accent2"/>
              <w:left w:val="nil"/>
              <w:bottom w:val="single" w:sz="4" w:space="0" w:color="4E4E50" w:themeColor="accent2"/>
              <w:right w:val="nil"/>
            </w:tcBorders>
          </w:tcPr>
          <w:p w14:paraId="680CA2D4" w14:textId="79AB9638" w:rsidR="00642489" w:rsidRDefault="00642489" w:rsidP="002F55A8">
            <w:pPr>
              <w:pStyle w:val="TableText"/>
              <w:rPr>
                <w:b/>
                <w:bCs/>
              </w:rPr>
            </w:pPr>
            <w:r>
              <w:rPr>
                <w:b/>
                <w:bCs/>
              </w:rPr>
              <w:t xml:space="preserve">Complies </w:t>
            </w:r>
          </w:p>
        </w:tc>
      </w:tr>
      <w:tr w:rsidR="00642489" w14:paraId="62D5E9CD" w14:textId="77777777" w:rsidTr="00612DAF">
        <w:tc>
          <w:tcPr>
            <w:tcW w:w="1781" w:type="dxa"/>
            <w:tcBorders>
              <w:top w:val="single" w:sz="4" w:space="0" w:color="4E4E50" w:themeColor="accent2"/>
              <w:left w:val="nil"/>
              <w:bottom w:val="single" w:sz="4" w:space="0" w:color="4E4E50" w:themeColor="accent2"/>
              <w:right w:val="nil"/>
            </w:tcBorders>
          </w:tcPr>
          <w:p w14:paraId="7F9A5C9C" w14:textId="3C2E2594" w:rsidR="00642489" w:rsidRDefault="00642489" w:rsidP="002F55A8">
            <w:pPr>
              <w:pStyle w:val="TableText"/>
            </w:pPr>
            <w:r>
              <w:t xml:space="preserve">6.2.4 Floor Space </w:t>
            </w:r>
          </w:p>
        </w:tc>
        <w:tc>
          <w:tcPr>
            <w:tcW w:w="6499" w:type="dxa"/>
            <w:tcBorders>
              <w:top w:val="single" w:sz="4" w:space="0" w:color="4E4E50" w:themeColor="accent2"/>
              <w:left w:val="nil"/>
              <w:bottom w:val="single" w:sz="4" w:space="0" w:color="4E4E50" w:themeColor="accent2"/>
              <w:right w:val="nil"/>
            </w:tcBorders>
          </w:tcPr>
          <w:p w14:paraId="5FDFC694" w14:textId="3381382B" w:rsidR="00642489" w:rsidRPr="00642489" w:rsidRDefault="00642489" w:rsidP="00642489">
            <w:pPr>
              <w:pStyle w:val="TableText"/>
              <w:rPr>
                <w:szCs w:val="20"/>
              </w:rPr>
            </w:pPr>
            <w:r>
              <w:t xml:space="preserve">As per the QLEP </w:t>
            </w:r>
            <w:r w:rsidR="00975060">
              <w:t xml:space="preserve">2012 </w:t>
            </w:r>
            <w:r>
              <w:t xml:space="preserve">assessment, </w:t>
            </w:r>
            <w:r>
              <w:rPr>
                <w:szCs w:val="20"/>
              </w:rPr>
              <w:t xml:space="preserve">the proposed development has a total FSR of 0.66:1 which complies with the maximum 3:1 FSR for the subject site. </w:t>
            </w:r>
          </w:p>
        </w:tc>
        <w:tc>
          <w:tcPr>
            <w:tcW w:w="1710" w:type="dxa"/>
            <w:tcBorders>
              <w:top w:val="single" w:sz="4" w:space="0" w:color="4E4E50" w:themeColor="accent2"/>
              <w:left w:val="nil"/>
              <w:bottom w:val="single" w:sz="4" w:space="0" w:color="4E4E50" w:themeColor="accent2"/>
              <w:right w:val="nil"/>
            </w:tcBorders>
          </w:tcPr>
          <w:p w14:paraId="26D209FD" w14:textId="768CA133" w:rsidR="00642489" w:rsidRDefault="00642489" w:rsidP="002F55A8">
            <w:pPr>
              <w:pStyle w:val="TableText"/>
              <w:rPr>
                <w:b/>
                <w:bCs/>
              </w:rPr>
            </w:pPr>
            <w:r>
              <w:rPr>
                <w:b/>
                <w:bCs/>
              </w:rPr>
              <w:t xml:space="preserve">Complies </w:t>
            </w:r>
          </w:p>
        </w:tc>
      </w:tr>
      <w:tr w:rsidR="00642489" w14:paraId="02D5A2A2" w14:textId="77777777" w:rsidTr="00612DAF">
        <w:tc>
          <w:tcPr>
            <w:tcW w:w="1781" w:type="dxa"/>
            <w:tcBorders>
              <w:top w:val="single" w:sz="4" w:space="0" w:color="4E4E50" w:themeColor="accent2"/>
              <w:left w:val="nil"/>
              <w:bottom w:val="single" w:sz="4" w:space="0" w:color="4E4E50" w:themeColor="accent2"/>
              <w:right w:val="nil"/>
            </w:tcBorders>
          </w:tcPr>
          <w:p w14:paraId="7DB45781" w14:textId="7DD947CE" w:rsidR="00642489" w:rsidRDefault="00642489" w:rsidP="002F55A8">
            <w:pPr>
              <w:pStyle w:val="TableText"/>
            </w:pPr>
            <w:r>
              <w:t>6.2.5 Robust Building Design</w:t>
            </w:r>
          </w:p>
        </w:tc>
        <w:tc>
          <w:tcPr>
            <w:tcW w:w="6499" w:type="dxa"/>
            <w:tcBorders>
              <w:top w:val="single" w:sz="4" w:space="0" w:color="4E4E50" w:themeColor="accent2"/>
              <w:left w:val="nil"/>
              <w:bottom w:val="single" w:sz="4" w:space="0" w:color="4E4E50" w:themeColor="accent2"/>
              <w:right w:val="nil"/>
            </w:tcBorders>
          </w:tcPr>
          <w:p w14:paraId="769DA9B4" w14:textId="77777777" w:rsidR="00684759" w:rsidRDefault="00642489" w:rsidP="00642489">
            <w:pPr>
              <w:pStyle w:val="TableText"/>
            </w:pPr>
            <w:r>
              <w:t>The proposed development is considered a landmark building and will be prominent in terms of height and scale.</w:t>
            </w:r>
            <w:r w:rsidR="00684759">
              <w:t xml:space="preserve"> It is a purpose built public administration building that is intended to service the needs of Council and the public in terms of the services shopfront and smart hub. </w:t>
            </w:r>
          </w:p>
          <w:p w14:paraId="0A8DE6B4" w14:textId="0871A353" w:rsidR="00642489" w:rsidRDefault="00684759" w:rsidP="00684759">
            <w:pPr>
              <w:pStyle w:val="TableText"/>
              <w:tabs>
                <w:tab w:val="left" w:pos="2294"/>
              </w:tabs>
            </w:pPr>
            <w:r>
              <w:t xml:space="preserve">It is conceivable that building could accommodate general office use in the future, and alternative ground floor uses. </w:t>
            </w:r>
          </w:p>
        </w:tc>
        <w:tc>
          <w:tcPr>
            <w:tcW w:w="1710" w:type="dxa"/>
            <w:tcBorders>
              <w:top w:val="single" w:sz="4" w:space="0" w:color="4E4E50" w:themeColor="accent2"/>
              <w:left w:val="nil"/>
              <w:bottom w:val="single" w:sz="4" w:space="0" w:color="4E4E50" w:themeColor="accent2"/>
              <w:right w:val="nil"/>
            </w:tcBorders>
          </w:tcPr>
          <w:p w14:paraId="00D83E2B" w14:textId="54A88614" w:rsidR="00642489" w:rsidRDefault="00684759" w:rsidP="002F55A8">
            <w:pPr>
              <w:pStyle w:val="TableText"/>
              <w:rPr>
                <w:b/>
                <w:bCs/>
              </w:rPr>
            </w:pPr>
            <w:r>
              <w:rPr>
                <w:b/>
                <w:bCs/>
              </w:rPr>
              <w:t>Complies</w:t>
            </w:r>
          </w:p>
        </w:tc>
      </w:tr>
      <w:tr w:rsidR="00684759" w14:paraId="0CA49146" w14:textId="77777777" w:rsidTr="00612DAF">
        <w:tc>
          <w:tcPr>
            <w:tcW w:w="1781" w:type="dxa"/>
            <w:tcBorders>
              <w:top w:val="single" w:sz="4" w:space="0" w:color="4E4E50" w:themeColor="accent2"/>
              <w:left w:val="nil"/>
              <w:bottom w:val="single" w:sz="4" w:space="0" w:color="4E4E50" w:themeColor="accent2"/>
              <w:right w:val="nil"/>
            </w:tcBorders>
          </w:tcPr>
          <w:p w14:paraId="68DDDAD5" w14:textId="481E29F8" w:rsidR="00684759" w:rsidRDefault="00684759" w:rsidP="002F55A8">
            <w:pPr>
              <w:pStyle w:val="TableText"/>
            </w:pPr>
            <w:r>
              <w:t xml:space="preserve">6.2.7 Awnings and </w:t>
            </w:r>
            <w:proofErr w:type="spellStart"/>
            <w:r>
              <w:t>Verandahs</w:t>
            </w:r>
            <w:proofErr w:type="spellEnd"/>
          </w:p>
        </w:tc>
        <w:tc>
          <w:tcPr>
            <w:tcW w:w="6499" w:type="dxa"/>
            <w:tcBorders>
              <w:top w:val="single" w:sz="4" w:space="0" w:color="4E4E50" w:themeColor="accent2"/>
              <w:left w:val="nil"/>
              <w:bottom w:val="single" w:sz="4" w:space="0" w:color="4E4E50" w:themeColor="accent2"/>
              <w:right w:val="nil"/>
            </w:tcBorders>
          </w:tcPr>
          <w:p w14:paraId="2220FFD6" w14:textId="22AF7D5A" w:rsidR="00684759" w:rsidRDefault="00684759" w:rsidP="00642489">
            <w:pPr>
              <w:pStyle w:val="TableText"/>
            </w:pPr>
            <w:r>
              <w:t xml:space="preserve">The proposed development does not have </w:t>
            </w:r>
            <w:r w:rsidR="00E76E5D">
              <w:t xml:space="preserve">a </w:t>
            </w:r>
            <w:r>
              <w:t>continuous street frontage and i</w:t>
            </w:r>
            <w:r w:rsidR="00412C88">
              <w:t>t</w:t>
            </w:r>
            <w:r>
              <w:t xml:space="preserve">s adjacent buildings do not incorporate </w:t>
            </w:r>
            <w:proofErr w:type="spellStart"/>
            <w:r>
              <w:t>verandahs</w:t>
            </w:r>
            <w:proofErr w:type="spellEnd"/>
            <w:r>
              <w:t xml:space="preserve"> and awnings as part of the streetscape. However, the building design incorporates overhangs to provide weather protection for pedestrian entrances.</w:t>
            </w:r>
          </w:p>
        </w:tc>
        <w:tc>
          <w:tcPr>
            <w:tcW w:w="1710" w:type="dxa"/>
            <w:tcBorders>
              <w:top w:val="single" w:sz="4" w:space="0" w:color="4E4E50" w:themeColor="accent2"/>
              <w:left w:val="nil"/>
              <w:bottom w:val="single" w:sz="4" w:space="0" w:color="4E4E50" w:themeColor="accent2"/>
              <w:right w:val="nil"/>
            </w:tcBorders>
          </w:tcPr>
          <w:p w14:paraId="67038224" w14:textId="6E9525B8" w:rsidR="00684759" w:rsidRDefault="00684759" w:rsidP="002F55A8">
            <w:pPr>
              <w:pStyle w:val="TableText"/>
              <w:rPr>
                <w:b/>
                <w:bCs/>
              </w:rPr>
            </w:pPr>
            <w:r>
              <w:rPr>
                <w:b/>
                <w:bCs/>
              </w:rPr>
              <w:t xml:space="preserve">Complies </w:t>
            </w:r>
          </w:p>
        </w:tc>
      </w:tr>
      <w:tr w:rsidR="00684759" w14:paraId="02550617" w14:textId="77777777" w:rsidTr="00612DAF">
        <w:tc>
          <w:tcPr>
            <w:tcW w:w="1781" w:type="dxa"/>
            <w:tcBorders>
              <w:top w:val="single" w:sz="4" w:space="0" w:color="4E4E50" w:themeColor="accent2"/>
              <w:left w:val="nil"/>
              <w:bottom w:val="single" w:sz="4" w:space="0" w:color="4E4E50" w:themeColor="accent2"/>
              <w:right w:val="nil"/>
            </w:tcBorders>
          </w:tcPr>
          <w:p w14:paraId="4C0C0C21" w14:textId="71681DD0" w:rsidR="00684759" w:rsidRDefault="00684759" w:rsidP="002F55A8">
            <w:pPr>
              <w:pStyle w:val="TableText"/>
            </w:pPr>
            <w:r>
              <w:t>6.2.8 Active Street Frontages</w:t>
            </w:r>
          </w:p>
        </w:tc>
        <w:tc>
          <w:tcPr>
            <w:tcW w:w="6499" w:type="dxa"/>
            <w:tcBorders>
              <w:top w:val="single" w:sz="4" w:space="0" w:color="4E4E50" w:themeColor="accent2"/>
              <w:left w:val="nil"/>
              <w:bottom w:val="single" w:sz="4" w:space="0" w:color="4E4E50" w:themeColor="accent2"/>
              <w:right w:val="nil"/>
            </w:tcBorders>
          </w:tcPr>
          <w:p w14:paraId="00A7D8C3" w14:textId="0B104CB7" w:rsidR="00684759" w:rsidRDefault="00684759" w:rsidP="00642489">
            <w:pPr>
              <w:pStyle w:val="TableText"/>
            </w:pPr>
            <w:r>
              <w:t xml:space="preserve">The proposal has been assessed against Clause 7.8 of the QLEP </w:t>
            </w:r>
            <w:r w:rsidR="00975060">
              <w:t xml:space="preserve">2012 </w:t>
            </w:r>
            <w:r>
              <w:t>and is considered to comply.</w:t>
            </w:r>
          </w:p>
          <w:p w14:paraId="42335674" w14:textId="780D2016" w:rsidR="00684759" w:rsidRDefault="00684759" w:rsidP="00684759">
            <w:pPr>
              <w:pStyle w:val="TableText"/>
            </w:pPr>
            <w:r>
              <w:t xml:space="preserve">The proposal includes a large public forecourt on the Crawford Street frontage to encourage pedestrian activity. It includes a ticket kiosk associated with ‘The Q’ theatre. </w:t>
            </w:r>
          </w:p>
          <w:p w14:paraId="053A18EC" w14:textId="5FEFA2F6" w:rsidR="00684759" w:rsidRDefault="00684759" w:rsidP="00684759">
            <w:pPr>
              <w:pStyle w:val="TableText"/>
            </w:pPr>
            <w:r>
              <w:t>The ground floor of the proposed building includes angled walls to direct pedestrians towards the entrance which include</w:t>
            </w:r>
            <w:r w:rsidR="00412C88">
              <w:t>s</w:t>
            </w:r>
            <w:r>
              <w:t xml:space="preserve"> active uses such as the Council shopfront and a café.</w:t>
            </w:r>
          </w:p>
        </w:tc>
        <w:tc>
          <w:tcPr>
            <w:tcW w:w="1710" w:type="dxa"/>
            <w:tcBorders>
              <w:top w:val="single" w:sz="4" w:space="0" w:color="4E4E50" w:themeColor="accent2"/>
              <w:left w:val="nil"/>
              <w:bottom w:val="single" w:sz="4" w:space="0" w:color="4E4E50" w:themeColor="accent2"/>
              <w:right w:val="nil"/>
            </w:tcBorders>
          </w:tcPr>
          <w:p w14:paraId="20DABB6D" w14:textId="00AD28FC" w:rsidR="00684759" w:rsidRDefault="00684759" w:rsidP="002F55A8">
            <w:pPr>
              <w:pStyle w:val="TableText"/>
              <w:rPr>
                <w:b/>
                <w:bCs/>
              </w:rPr>
            </w:pPr>
            <w:r>
              <w:rPr>
                <w:b/>
                <w:bCs/>
              </w:rPr>
              <w:t xml:space="preserve">Complies </w:t>
            </w:r>
          </w:p>
        </w:tc>
      </w:tr>
      <w:tr w:rsidR="009E73C1" w14:paraId="5BF986DE" w14:textId="77777777" w:rsidTr="00612DAF">
        <w:tc>
          <w:tcPr>
            <w:tcW w:w="1781" w:type="dxa"/>
            <w:tcBorders>
              <w:top w:val="single" w:sz="4" w:space="0" w:color="4E4E50" w:themeColor="accent2"/>
              <w:left w:val="nil"/>
              <w:bottom w:val="single" w:sz="4" w:space="0" w:color="4E4E50" w:themeColor="accent2"/>
              <w:right w:val="nil"/>
            </w:tcBorders>
          </w:tcPr>
          <w:p w14:paraId="1AEA06BA" w14:textId="4B3AEBA0" w:rsidR="009E73C1" w:rsidRDefault="009E73C1" w:rsidP="002F55A8">
            <w:pPr>
              <w:pStyle w:val="TableText"/>
            </w:pPr>
            <w:r>
              <w:t xml:space="preserve">6.2.9 Colour and Materials </w:t>
            </w:r>
          </w:p>
        </w:tc>
        <w:tc>
          <w:tcPr>
            <w:tcW w:w="6499" w:type="dxa"/>
            <w:tcBorders>
              <w:top w:val="single" w:sz="4" w:space="0" w:color="4E4E50" w:themeColor="accent2"/>
              <w:left w:val="nil"/>
              <w:bottom w:val="single" w:sz="4" w:space="0" w:color="4E4E50" w:themeColor="accent2"/>
              <w:right w:val="nil"/>
            </w:tcBorders>
          </w:tcPr>
          <w:p w14:paraId="2FA8E787" w14:textId="77777777" w:rsidR="009E73C1" w:rsidRDefault="009E73C1" w:rsidP="00642489">
            <w:pPr>
              <w:pStyle w:val="TableText"/>
            </w:pPr>
            <w:r>
              <w:t>The External Finished Schedule includes neutral colours for metal and concrete finishes. Red brick and dark metal cladding provide contrast accents.</w:t>
            </w:r>
          </w:p>
          <w:p w14:paraId="1F10D488" w14:textId="6C435BFF" w:rsidR="009E73C1" w:rsidRDefault="00E76E5D" w:rsidP="00642489">
            <w:pPr>
              <w:pStyle w:val="TableText"/>
            </w:pPr>
            <w:r>
              <w:t xml:space="preserve">The proposal </w:t>
            </w:r>
            <w:r w:rsidR="009E73C1">
              <w:t xml:space="preserve"> </w:t>
            </w:r>
            <w:r w:rsidR="00412C88">
              <w:t xml:space="preserve">includes </w:t>
            </w:r>
            <w:r w:rsidR="009E73C1">
              <w:t>form cast concrete for some feature walls and the structural columns. These materials are considered consistent with the overall palette of the building and contribute to the contemporary architectural character of the building.</w:t>
            </w:r>
          </w:p>
        </w:tc>
        <w:tc>
          <w:tcPr>
            <w:tcW w:w="1710" w:type="dxa"/>
            <w:tcBorders>
              <w:top w:val="single" w:sz="4" w:space="0" w:color="4E4E50" w:themeColor="accent2"/>
              <w:left w:val="nil"/>
              <w:bottom w:val="single" w:sz="4" w:space="0" w:color="4E4E50" w:themeColor="accent2"/>
              <w:right w:val="nil"/>
            </w:tcBorders>
          </w:tcPr>
          <w:p w14:paraId="63B61968" w14:textId="143E7550" w:rsidR="009E73C1" w:rsidRDefault="009E73C1" w:rsidP="002F55A8">
            <w:pPr>
              <w:pStyle w:val="TableText"/>
              <w:rPr>
                <w:b/>
                <w:bCs/>
              </w:rPr>
            </w:pPr>
            <w:r>
              <w:rPr>
                <w:b/>
                <w:bCs/>
              </w:rPr>
              <w:t>Partially complies</w:t>
            </w:r>
          </w:p>
        </w:tc>
      </w:tr>
      <w:tr w:rsidR="009E73C1" w14:paraId="3AF288EB" w14:textId="77777777" w:rsidTr="00612DAF">
        <w:tc>
          <w:tcPr>
            <w:tcW w:w="1781" w:type="dxa"/>
            <w:tcBorders>
              <w:top w:val="single" w:sz="4" w:space="0" w:color="4E4E50" w:themeColor="accent2"/>
              <w:left w:val="nil"/>
              <w:bottom w:val="single" w:sz="4" w:space="0" w:color="4E4E50" w:themeColor="accent2"/>
              <w:right w:val="nil"/>
            </w:tcBorders>
          </w:tcPr>
          <w:p w14:paraId="430FB0AE" w14:textId="7074E909" w:rsidR="009E73C1" w:rsidRDefault="009E73C1" w:rsidP="002F55A8">
            <w:pPr>
              <w:pStyle w:val="TableText"/>
            </w:pPr>
            <w:r>
              <w:t>6.2.11 Open Space and Civic Spaces</w:t>
            </w:r>
          </w:p>
        </w:tc>
        <w:tc>
          <w:tcPr>
            <w:tcW w:w="6499" w:type="dxa"/>
            <w:tcBorders>
              <w:top w:val="single" w:sz="4" w:space="0" w:color="4E4E50" w:themeColor="accent2"/>
              <w:left w:val="nil"/>
              <w:bottom w:val="single" w:sz="4" w:space="0" w:color="4E4E50" w:themeColor="accent2"/>
              <w:right w:val="nil"/>
            </w:tcBorders>
          </w:tcPr>
          <w:p w14:paraId="72BAFBF2" w14:textId="77777777" w:rsidR="009E73C1" w:rsidRDefault="009E73C1" w:rsidP="009E73C1">
            <w:pPr>
              <w:pStyle w:val="TableText"/>
            </w:pPr>
            <w:r>
              <w:t xml:space="preserve">The proposed development includes the provision of a public forecourt on Crawford Street and the public plaza at the rear of the site. </w:t>
            </w:r>
          </w:p>
          <w:p w14:paraId="0416AB2B" w14:textId="77777777" w:rsidR="009E73C1" w:rsidRDefault="009E73C1" w:rsidP="009E73C1">
            <w:pPr>
              <w:pStyle w:val="TableText"/>
            </w:pPr>
            <w:r>
              <w:t>The Shadow Diagram demonstrates minimal overshadowing of the public plaza on the winter solstice. The proposed forecourt benefits from a north east orientation and has minimal overshadowing.</w:t>
            </w:r>
          </w:p>
          <w:p w14:paraId="4BF9CCB7" w14:textId="1069930D" w:rsidR="009E73C1" w:rsidRDefault="009E73C1" w:rsidP="009E73C1">
            <w:pPr>
              <w:pStyle w:val="TableText"/>
            </w:pPr>
            <w:r>
              <w:lastRenderedPageBreak/>
              <w:t xml:space="preserve">The creation of the Civic Square is consistent with the intent of the CBD Spatial Master Plan. </w:t>
            </w:r>
          </w:p>
        </w:tc>
        <w:tc>
          <w:tcPr>
            <w:tcW w:w="1710" w:type="dxa"/>
            <w:tcBorders>
              <w:top w:val="single" w:sz="4" w:space="0" w:color="4E4E50" w:themeColor="accent2"/>
              <w:left w:val="nil"/>
              <w:bottom w:val="single" w:sz="4" w:space="0" w:color="4E4E50" w:themeColor="accent2"/>
              <w:right w:val="nil"/>
            </w:tcBorders>
          </w:tcPr>
          <w:p w14:paraId="492F6996" w14:textId="4D65FADB" w:rsidR="009E73C1" w:rsidRDefault="009E73C1" w:rsidP="002F55A8">
            <w:pPr>
              <w:pStyle w:val="TableText"/>
              <w:rPr>
                <w:b/>
                <w:bCs/>
              </w:rPr>
            </w:pPr>
            <w:r>
              <w:rPr>
                <w:b/>
                <w:bCs/>
              </w:rPr>
              <w:lastRenderedPageBreak/>
              <w:t xml:space="preserve">Complies </w:t>
            </w:r>
          </w:p>
        </w:tc>
      </w:tr>
      <w:tr w:rsidR="009E73C1" w14:paraId="186847CB" w14:textId="77777777" w:rsidTr="00612DAF">
        <w:tc>
          <w:tcPr>
            <w:tcW w:w="1781" w:type="dxa"/>
            <w:tcBorders>
              <w:top w:val="single" w:sz="4" w:space="0" w:color="4E4E50" w:themeColor="accent2"/>
              <w:left w:val="nil"/>
              <w:bottom w:val="single" w:sz="4" w:space="0" w:color="4E4E50" w:themeColor="accent2"/>
              <w:right w:val="nil"/>
            </w:tcBorders>
          </w:tcPr>
          <w:p w14:paraId="01720332" w14:textId="3AD074C4" w:rsidR="009E73C1" w:rsidRDefault="009E73C1" w:rsidP="002F55A8">
            <w:pPr>
              <w:pStyle w:val="TableText"/>
            </w:pPr>
            <w:r>
              <w:t xml:space="preserve">6.2.12 Streetscape s and Frontage Works </w:t>
            </w:r>
          </w:p>
        </w:tc>
        <w:tc>
          <w:tcPr>
            <w:tcW w:w="6499" w:type="dxa"/>
            <w:tcBorders>
              <w:top w:val="single" w:sz="4" w:space="0" w:color="4E4E50" w:themeColor="accent2"/>
              <w:left w:val="nil"/>
              <w:bottom w:val="single" w:sz="4" w:space="0" w:color="4E4E50" w:themeColor="accent2"/>
              <w:right w:val="nil"/>
            </w:tcBorders>
          </w:tcPr>
          <w:p w14:paraId="08BBC7A8" w14:textId="3CF69A3F" w:rsidR="009E73C1" w:rsidRDefault="009E73C1" w:rsidP="009E73C1">
            <w:pPr>
              <w:pStyle w:val="TableText"/>
            </w:pPr>
            <w:r>
              <w:t>Kerb and gutter treatments along the service lane are unclear in the Civil Works package. Further, the propos</w:t>
            </w:r>
            <w:r w:rsidR="00B92788">
              <w:t xml:space="preserve">al </w:t>
            </w:r>
            <w:r>
              <w:t xml:space="preserve">utilises an existing unnamed lane from Rutledge Street for general vehicle access. Pedestrian movement and footpaths are unclear. </w:t>
            </w:r>
          </w:p>
          <w:p w14:paraId="0DF13E9A" w14:textId="26E73B3E" w:rsidR="009E73C1" w:rsidRDefault="009E73C1" w:rsidP="009E73C1">
            <w:pPr>
              <w:pStyle w:val="TableText"/>
            </w:pPr>
            <w:r>
              <w:t>The proposed service lane from Crawford Street has access control to manage vehicle movements but details are unclear from the DA package.</w:t>
            </w:r>
          </w:p>
        </w:tc>
        <w:tc>
          <w:tcPr>
            <w:tcW w:w="1710" w:type="dxa"/>
            <w:tcBorders>
              <w:top w:val="single" w:sz="4" w:space="0" w:color="4E4E50" w:themeColor="accent2"/>
              <w:left w:val="nil"/>
              <w:bottom w:val="single" w:sz="4" w:space="0" w:color="4E4E50" w:themeColor="accent2"/>
              <w:right w:val="nil"/>
            </w:tcBorders>
          </w:tcPr>
          <w:p w14:paraId="7AFB5E94" w14:textId="69D3DC60" w:rsidR="009E73C1" w:rsidRDefault="009E73C1" w:rsidP="002F55A8">
            <w:pPr>
              <w:pStyle w:val="TableText"/>
              <w:rPr>
                <w:b/>
                <w:bCs/>
              </w:rPr>
            </w:pPr>
            <w:r>
              <w:rPr>
                <w:b/>
                <w:bCs/>
              </w:rPr>
              <w:t xml:space="preserve">Partially complies </w:t>
            </w:r>
          </w:p>
        </w:tc>
      </w:tr>
      <w:tr w:rsidR="009E73C1" w14:paraId="370E8FE5" w14:textId="77777777" w:rsidTr="00612DAF">
        <w:tc>
          <w:tcPr>
            <w:tcW w:w="1781" w:type="dxa"/>
            <w:tcBorders>
              <w:top w:val="single" w:sz="4" w:space="0" w:color="4E4E50" w:themeColor="accent2"/>
              <w:left w:val="nil"/>
              <w:bottom w:val="single" w:sz="4" w:space="0" w:color="4E4E50" w:themeColor="accent2"/>
              <w:right w:val="nil"/>
            </w:tcBorders>
          </w:tcPr>
          <w:p w14:paraId="67EDBA88" w14:textId="5101D75F" w:rsidR="009E73C1" w:rsidRDefault="009E73C1" w:rsidP="002F55A8">
            <w:pPr>
              <w:pStyle w:val="TableText"/>
            </w:pPr>
            <w:r>
              <w:t xml:space="preserve">6.2.13 Advertisements and Signage </w:t>
            </w:r>
          </w:p>
        </w:tc>
        <w:tc>
          <w:tcPr>
            <w:tcW w:w="6499" w:type="dxa"/>
            <w:tcBorders>
              <w:top w:val="single" w:sz="4" w:space="0" w:color="4E4E50" w:themeColor="accent2"/>
              <w:left w:val="nil"/>
              <w:bottom w:val="single" w:sz="4" w:space="0" w:color="4E4E50" w:themeColor="accent2"/>
              <w:right w:val="nil"/>
            </w:tcBorders>
          </w:tcPr>
          <w:p w14:paraId="2619DB42" w14:textId="2797CAC7" w:rsidR="009E73C1" w:rsidRDefault="009E73C1" w:rsidP="009E73C1">
            <w:pPr>
              <w:pStyle w:val="TableText"/>
            </w:pPr>
            <w:r>
              <w:t>The proposed signage</w:t>
            </w:r>
            <w:r w:rsidR="00201FFF">
              <w:t xml:space="preserve"> has been assessed against </w:t>
            </w:r>
            <w:r w:rsidR="00E76E5D">
              <w:t>SEPP 64</w:t>
            </w:r>
            <w:r w:rsidR="00BB0EDD">
              <w:t xml:space="preserve"> and is considered to comply.</w:t>
            </w:r>
          </w:p>
        </w:tc>
        <w:tc>
          <w:tcPr>
            <w:tcW w:w="1710" w:type="dxa"/>
            <w:tcBorders>
              <w:top w:val="single" w:sz="4" w:space="0" w:color="4E4E50" w:themeColor="accent2"/>
              <w:left w:val="nil"/>
              <w:bottom w:val="single" w:sz="4" w:space="0" w:color="4E4E50" w:themeColor="accent2"/>
              <w:right w:val="nil"/>
            </w:tcBorders>
          </w:tcPr>
          <w:p w14:paraId="48FD4360" w14:textId="3309979A" w:rsidR="009E73C1" w:rsidRDefault="009E73C1" w:rsidP="002F55A8">
            <w:pPr>
              <w:pStyle w:val="TableText"/>
              <w:rPr>
                <w:b/>
                <w:bCs/>
              </w:rPr>
            </w:pPr>
            <w:r>
              <w:rPr>
                <w:b/>
                <w:bCs/>
              </w:rPr>
              <w:t xml:space="preserve">Compiles </w:t>
            </w:r>
          </w:p>
        </w:tc>
      </w:tr>
      <w:tr w:rsidR="00BB0EDD" w14:paraId="0329AF08" w14:textId="77777777" w:rsidTr="00612DAF">
        <w:tc>
          <w:tcPr>
            <w:tcW w:w="1781" w:type="dxa"/>
            <w:tcBorders>
              <w:top w:val="single" w:sz="4" w:space="0" w:color="4E4E50" w:themeColor="accent2"/>
              <w:left w:val="nil"/>
              <w:bottom w:val="single" w:sz="4" w:space="0" w:color="4E4E50" w:themeColor="accent2"/>
              <w:right w:val="nil"/>
            </w:tcBorders>
          </w:tcPr>
          <w:p w14:paraId="3B0BD1A5" w14:textId="5A5A75E7" w:rsidR="00BB0EDD" w:rsidRDefault="00BB0EDD" w:rsidP="002F55A8">
            <w:pPr>
              <w:pStyle w:val="TableText"/>
            </w:pPr>
            <w:r>
              <w:t>6.2.14 Heritage Sites</w:t>
            </w:r>
          </w:p>
        </w:tc>
        <w:tc>
          <w:tcPr>
            <w:tcW w:w="6499" w:type="dxa"/>
            <w:tcBorders>
              <w:top w:val="single" w:sz="4" w:space="0" w:color="4E4E50" w:themeColor="accent2"/>
              <w:left w:val="nil"/>
              <w:bottom w:val="single" w:sz="4" w:space="0" w:color="4E4E50" w:themeColor="accent2"/>
              <w:right w:val="nil"/>
            </w:tcBorders>
          </w:tcPr>
          <w:p w14:paraId="4F7677CA" w14:textId="5FAF472B" w:rsidR="00BB0EDD" w:rsidRDefault="00E43B3D" w:rsidP="009E73C1">
            <w:pPr>
              <w:pStyle w:val="TableText"/>
            </w:pPr>
            <w:r>
              <w:t>The proposal is considered to have an acceptable impact to Heritage Items as per the assessment of Clause 4.10 of the QLEP</w:t>
            </w:r>
            <w:r w:rsidR="00975060">
              <w:t xml:space="preserve"> 2012</w:t>
            </w:r>
            <w:r>
              <w:t>, and is considered to be consistent with Part 4 of the QDCP</w:t>
            </w:r>
            <w:r w:rsidR="00975060">
              <w:t xml:space="preserve"> 2012</w:t>
            </w:r>
            <w:r>
              <w:t xml:space="preserve">. </w:t>
            </w:r>
          </w:p>
        </w:tc>
        <w:tc>
          <w:tcPr>
            <w:tcW w:w="1710" w:type="dxa"/>
            <w:tcBorders>
              <w:top w:val="single" w:sz="4" w:space="0" w:color="4E4E50" w:themeColor="accent2"/>
              <w:left w:val="nil"/>
              <w:bottom w:val="single" w:sz="4" w:space="0" w:color="4E4E50" w:themeColor="accent2"/>
              <w:right w:val="nil"/>
            </w:tcBorders>
          </w:tcPr>
          <w:p w14:paraId="0EDE59DA" w14:textId="53CDEF8A" w:rsidR="00BB0EDD" w:rsidRDefault="00BB0EDD" w:rsidP="002F55A8">
            <w:pPr>
              <w:pStyle w:val="TableText"/>
              <w:rPr>
                <w:b/>
                <w:bCs/>
              </w:rPr>
            </w:pPr>
            <w:r>
              <w:rPr>
                <w:b/>
                <w:bCs/>
              </w:rPr>
              <w:t xml:space="preserve">Complies </w:t>
            </w:r>
          </w:p>
        </w:tc>
      </w:tr>
      <w:tr w:rsidR="00E43B3D" w14:paraId="38A6C6FC" w14:textId="77777777" w:rsidTr="00612DAF">
        <w:tc>
          <w:tcPr>
            <w:tcW w:w="1781" w:type="dxa"/>
            <w:tcBorders>
              <w:top w:val="single" w:sz="4" w:space="0" w:color="4E4E50" w:themeColor="accent2"/>
              <w:left w:val="nil"/>
              <w:bottom w:val="single" w:sz="4" w:space="0" w:color="4E4E50" w:themeColor="accent2"/>
              <w:right w:val="nil"/>
            </w:tcBorders>
          </w:tcPr>
          <w:p w14:paraId="39045D08" w14:textId="4B4BE959" w:rsidR="00E43B3D" w:rsidRDefault="00E43B3D" w:rsidP="002F55A8">
            <w:pPr>
              <w:pStyle w:val="TableText"/>
            </w:pPr>
            <w:r>
              <w:t>6.2.15 Connectivity</w:t>
            </w:r>
          </w:p>
        </w:tc>
        <w:tc>
          <w:tcPr>
            <w:tcW w:w="6499" w:type="dxa"/>
            <w:tcBorders>
              <w:top w:val="single" w:sz="4" w:space="0" w:color="4E4E50" w:themeColor="accent2"/>
              <w:left w:val="nil"/>
              <w:bottom w:val="single" w:sz="4" w:space="0" w:color="4E4E50" w:themeColor="accent2"/>
              <w:right w:val="nil"/>
            </w:tcBorders>
          </w:tcPr>
          <w:p w14:paraId="37E2543D" w14:textId="07FF3CE4" w:rsidR="00E43B3D" w:rsidRDefault="00E43B3D" w:rsidP="009E73C1">
            <w:pPr>
              <w:pStyle w:val="TableText"/>
            </w:pPr>
            <w:r>
              <w:t>The proposal has maintained the existing pedestrian laneway from Crawford Street through to the Lowe Street Car Park. Laneways are integrated into the urban design approach and Landscape Plan.</w:t>
            </w:r>
          </w:p>
          <w:p w14:paraId="7771BFB7" w14:textId="5B5B7099" w:rsidR="00E43B3D" w:rsidRDefault="00E43B3D" w:rsidP="00E43B3D">
            <w:pPr>
              <w:pStyle w:val="TableText"/>
            </w:pPr>
            <w:r w:rsidRPr="00FE59EC">
              <w:t>The proposed pedestrian laneway has a minimum width of approximately 5m.</w:t>
            </w:r>
          </w:p>
        </w:tc>
        <w:tc>
          <w:tcPr>
            <w:tcW w:w="1710" w:type="dxa"/>
            <w:tcBorders>
              <w:top w:val="single" w:sz="4" w:space="0" w:color="4E4E50" w:themeColor="accent2"/>
              <w:left w:val="nil"/>
              <w:bottom w:val="single" w:sz="4" w:space="0" w:color="4E4E50" w:themeColor="accent2"/>
              <w:right w:val="nil"/>
            </w:tcBorders>
          </w:tcPr>
          <w:p w14:paraId="29B7CA2B" w14:textId="77777777" w:rsidR="00E43B3D" w:rsidRDefault="00E43B3D" w:rsidP="002F55A8">
            <w:pPr>
              <w:pStyle w:val="TableText"/>
              <w:rPr>
                <w:b/>
                <w:bCs/>
              </w:rPr>
            </w:pPr>
            <w:r>
              <w:rPr>
                <w:b/>
                <w:bCs/>
              </w:rPr>
              <w:t>Complies</w:t>
            </w:r>
          </w:p>
          <w:p w14:paraId="61D4B814" w14:textId="1C48A392" w:rsidR="00E43B3D" w:rsidRDefault="00E43B3D" w:rsidP="002F55A8">
            <w:pPr>
              <w:pStyle w:val="TableText"/>
              <w:rPr>
                <w:b/>
                <w:bCs/>
              </w:rPr>
            </w:pPr>
          </w:p>
        </w:tc>
      </w:tr>
      <w:tr w:rsidR="00E43B3D" w14:paraId="51B972A1" w14:textId="77777777" w:rsidTr="00612DAF">
        <w:tc>
          <w:tcPr>
            <w:tcW w:w="1781" w:type="dxa"/>
            <w:tcBorders>
              <w:top w:val="single" w:sz="4" w:space="0" w:color="4E4E50" w:themeColor="accent2"/>
              <w:left w:val="nil"/>
              <w:bottom w:val="single" w:sz="4" w:space="0" w:color="4E4E50" w:themeColor="accent2"/>
              <w:right w:val="nil"/>
            </w:tcBorders>
          </w:tcPr>
          <w:p w14:paraId="47EE428D" w14:textId="3C342F8A" w:rsidR="00E43B3D" w:rsidRDefault="00E43B3D" w:rsidP="002F55A8">
            <w:pPr>
              <w:pStyle w:val="TableText"/>
            </w:pPr>
            <w:r>
              <w:t>6.2.16 Safety and Security</w:t>
            </w:r>
          </w:p>
        </w:tc>
        <w:tc>
          <w:tcPr>
            <w:tcW w:w="6499" w:type="dxa"/>
            <w:tcBorders>
              <w:top w:val="single" w:sz="4" w:space="0" w:color="4E4E50" w:themeColor="accent2"/>
              <w:left w:val="nil"/>
              <w:bottom w:val="single" w:sz="4" w:space="0" w:color="4E4E50" w:themeColor="accent2"/>
              <w:right w:val="nil"/>
            </w:tcBorders>
          </w:tcPr>
          <w:p w14:paraId="1A7BFD28" w14:textId="5EBD0AF5" w:rsidR="00E43B3D" w:rsidRDefault="004F5EE0" w:rsidP="009E73C1">
            <w:pPr>
              <w:pStyle w:val="TableText"/>
            </w:pPr>
            <w:r>
              <w:t>The p</w:t>
            </w:r>
            <w:r w:rsidR="00E43B3D" w:rsidRPr="00FE59EC">
              <w:t>roposal complies with CPTED</w:t>
            </w:r>
            <w:r w:rsidR="00E43B3D">
              <w:t xml:space="preserve"> principles</w:t>
            </w:r>
            <w:r w:rsidR="00E43B3D" w:rsidRPr="00FE59EC">
              <w:t xml:space="preserve"> </w:t>
            </w:r>
            <w:r w:rsidR="00E43B3D">
              <w:t xml:space="preserve">as considered by the </w:t>
            </w:r>
            <w:r w:rsidR="00E43B3D" w:rsidRPr="00FE59EC">
              <w:t>NSW Police.</w:t>
            </w:r>
          </w:p>
        </w:tc>
        <w:tc>
          <w:tcPr>
            <w:tcW w:w="1710" w:type="dxa"/>
            <w:tcBorders>
              <w:top w:val="single" w:sz="4" w:space="0" w:color="4E4E50" w:themeColor="accent2"/>
              <w:left w:val="nil"/>
              <w:bottom w:val="single" w:sz="4" w:space="0" w:color="4E4E50" w:themeColor="accent2"/>
              <w:right w:val="nil"/>
            </w:tcBorders>
          </w:tcPr>
          <w:p w14:paraId="21ABAA85" w14:textId="02BF1ACA" w:rsidR="00E43B3D" w:rsidRDefault="00E43B3D" w:rsidP="002F55A8">
            <w:pPr>
              <w:pStyle w:val="TableText"/>
              <w:rPr>
                <w:b/>
                <w:bCs/>
              </w:rPr>
            </w:pPr>
            <w:r>
              <w:rPr>
                <w:b/>
                <w:bCs/>
              </w:rPr>
              <w:t xml:space="preserve">Complies </w:t>
            </w:r>
          </w:p>
        </w:tc>
      </w:tr>
      <w:tr w:rsidR="00E43B3D" w14:paraId="2E37CAE0" w14:textId="77777777" w:rsidTr="00612DAF">
        <w:tc>
          <w:tcPr>
            <w:tcW w:w="1781" w:type="dxa"/>
            <w:tcBorders>
              <w:top w:val="single" w:sz="4" w:space="0" w:color="4E4E50" w:themeColor="accent2"/>
              <w:left w:val="nil"/>
              <w:bottom w:val="single" w:sz="4" w:space="0" w:color="4E4E50" w:themeColor="accent2"/>
              <w:right w:val="nil"/>
            </w:tcBorders>
          </w:tcPr>
          <w:p w14:paraId="41C81ADA" w14:textId="5351FCCD" w:rsidR="00E43B3D" w:rsidRDefault="00E43B3D" w:rsidP="002F55A8">
            <w:pPr>
              <w:pStyle w:val="TableText"/>
            </w:pPr>
            <w:r>
              <w:t>6.2.17 Buildings Near Public Places</w:t>
            </w:r>
          </w:p>
        </w:tc>
        <w:tc>
          <w:tcPr>
            <w:tcW w:w="6499" w:type="dxa"/>
            <w:tcBorders>
              <w:top w:val="single" w:sz="4" w:space="0" w:color="4E4E50" w:themeColor="accent2"/>
              <w:left w:val="nil"/>
              <w:bottom w:val="single" w:sz="4" w:space="0" w:color="4E4E50" w:themeColor="accent2"/>
              <w:right w:val="nil"/>
            </w:tcBorders>
          </w:tcPr>
          <w:p w14:paraId="2D3BF3C7" w14:textId="4B25BD69" w:rsidR="00E43B3D" w:rsidRDefault="00F44AD6" w:rsidP="009E73C1">
            <w:pPr>
              <w:pStyle w:val="TableText"/>
            </w:pPr>
            <w:r>
              <w:t>The proposal establishe</w:t>
            </w:r>
            <w:r w:rsidR="00D24A01">
              <w:t>s</w:t>
            </w:r>
            <w:r>
              <w:t xml:space="preserve"> </w:t>
            </w:r>
            <w:r w:rsidR="00D24A01">
              <w:t xml:space="preserve">a </w:t>
            </w:r>
            <w:r>
              <w:t>major public plaza adjacent to the Lowe Street Car Park.</w:t>
            </w:r>
          </w:p>
          <w:p w14:paraId="34BAEF8B" w14:textId="7003DC80" w:rsidR="00F44AD6" w:rsidRPr="00FE59EC" w:rsidRDefault="00F44AD6" w:rsidP="009E73C1">
            <w:pPr>
              <w:pStyle w:val="TableText"/>
            </w:pPr>
            <w:r>
              <w:t>The Shadow Diagram demonstrates minimal overshadowing of the public plaza on the winter solstice.</w:t>
            </w:r>
          </w:p>
        </w:tc>
        <w:tc>
          <w:tcPr>
            <w:tcW w:w="1710" w:type="dxa"/>
            <w:tcBorders>
              <w:top w:val="single" w:sz="4" w:space="0" w:color="4E4E50" w:themeColor="accent2"/>
              <w:left w:val="nil"/>
              <w:bottom w:val="single" w:sz="4" w:space="0" w:color="4E4E50" w:themeColor="accent2"/>
              <w:right w:val="nil"/>
            </w:tcBorders>
          </w:tcPr>
          <w:p w14:paraId="028472E1" w14:textId="4EC9C6D1" w:rsidR="00E43B3D" w:rsidRDefault="00F44AD6" w:rsidP="002F55A8">
            <w:pPr>
              <w:pStyle w:val="TableText"/>
              <w:rPr>
                <w:b/>
                <w:bCs/>
              </w:rPr>
            </w:pPr>
            <w:r>
              <w:rPr>
                <w:b/>
                <w:bCs/>
              </w:rPr>
              <w:t xml:space="preserve">Complies </w:t>
            </w:r>
          </w:p>
        </w:tc>
      </w:tr>
      <w:tr w:rsidR="00F44AD6" w14:paraId="1A7EFABA" w14:textId="77777777" w:rsidTr="00612DAF">
        <w:tc>
          <w:tcPr>
            <w:tcW w:w="1781" w:type="dxa"/>
            <w:tcBorders>
              <w:top w:val="single" w:sz="4" w:space="0" w:color="4E4E50" w:themeColor="accent2"/>
              <w:left w:val="nil"/>
              <w:bottom w:val="single" w:sz="4" w:space="0" w:color="4E4E50" w:themeColor="accent2"/>
              <w:right w:val="nil"/>
            </w:tcBorders>
          </w:tcPr>
          <w:p w14:paraId="4199D942" w14:textId="0BE0C493" w:rsidR="00F44AD6" w:rsidRDefault="00F44AD6" w:rsidP="002F55A8">
            <w:pPr>
              <w:pStyle w:val="TableText"/>
            </w:pPr>
            <w:r>
              <w:t>6.2.19 Solar Access and Overshadowing</w:t>
            </w:r>
          </w:p>
        </w:tc>
        <w:tc>
          <w:tcPr>
            <w:tcW w:w="6499" w:type="dxa"/>
            <w:tcBorders>
              <w:top w:val="single" w:sz="4" w:space="0" w:color="4E4E50" w:themeColor="accent2"/>
              <w:left w:val="nil"/>
              <w:bottom w:val="single" w:sz="4" w:space="0" w:color="4E4E50" w:themeColor="accent2"/>
              <w:right w:val="nil"/>
            </w:tcBorders>
          </w:tcPr>
          <w:p w14:paraId="46309669" w14:textId="41A76F46" w:rsidR="00F44AD6" w:rsidRDefault="00F44AD6" w:rsidP="00504D4F">
            <w:pPr>
              <w:pStyle w:val="TableText"/>
            </w:pPr>
            <w:r>
              <w:t>The Shadow Diagram demonstrates minimal overshadowing of the public plaza on the winter solstice.</w:t>
            </w:r>
            <w:r w:rsidR="00E17D5B">
              <w:t xml:space="preserve"> </w:t>
            </w:r>
            <w:r>
              <w:t>The proposal features curtain glass to maximise solar access</w:t>
            </w:r>
            <w:r w:rsidR="00504D4F">
              <w:t xml:space="preserve"> into the building. </w:t>
            </w:r>
          </w:p>
        </w:tc>
        <w:tc>
          <w:tcPr>
            <w:tcW w:w="1710" w:type="dxa"/>
            <w:tcBorders>
              <w:top w:val="single" w:sz="4" w:space="0" w:color="4E4E50" w:themeColor="accent2"/>
              <w:left w:val="nil"/>
              <w:bottom w:val="single" w:sz="4" w:space="0" w:color="4E4E50" w:themeColor="accent2"/>
              <w:right w:val="nil"/>
            </w:tcBorders>
          </w:tcPr>
          <w:p w14:paraId="51072764" w14:textId="1CC2467A" w:rsidR="00F44AD6" w:rsidRDefault="00F44AD6" w:rsidP="002F55A8">
            <w:pPr>
              <w:pStyle w:val="TableText"/>
              <w:rPr>
                <w:b/>
                <w:bCs/>
              </w:rPr>
            </w:pPr>
            <w:r>
              <w:rPr>
                <w:b/>
                <w:bCs/>
              </w:rPr>
              <w:t>Complies</w:t>
            </w:r>
          </w:p>
        </w:tc>
      </w:tr>
      <w:tr w:rsidR="00F44AD6" w14:paraId="029702FD" w14:textId="77777777" w:rsidTr="00612DAF">
        <w:tc>
          <w:tcPr>
            <w:tcW w:w="1781" w:type="dxa"/>
            <w:tcBorders>
              <w:top w:val="single" w:sz="4" w:space="0" w:color="4E4E50" w:themeColor="accent2"/>
              <w:left w:val="nil"/>
              <w:bottom w:val="single" w:sz="4" w:space="0" w:color="4E4E50" w:themeColor="accent2"/>
              <w:right w:val="nil"/>
            </w:tcBorders>
          </w:tcPr>
          <w:p w14:paraId="3E090109" w14:textId="67985018" w:rsidR="00F44AD6" w:rsidRDefault="00F44AD6" w:rsidP="002F55A8">
            <w:pPr>
              <w:pStyle w:val="TableText"/>
            </w:pPr>
            <w:r>
              <w:t>6.3.4 Pedestrian Access and Mobility</w:t>
            </w:r>
          </w:p>
        </w:tc>
        <w:tc>
          <w:tcPr>
            <w:tcW w:w="6499" w:type="dxa"/>
            <w:tcBorders>
              <w:top w:val="single" w:sz="4" w:space="0" w:color="4E4E50" w:themeColor="accent2"/>
              <w:left w:val="nil"/>
              <w:bottom w:val="single" w:sz="4" w:space="0" w:color="4E4E50" w:themeColor="accent2"/>
              <w:right w:val="nil"/>
            </w:tcBorders>
          </w:tcPr>
          <w:p w14:paraId="23858015" w14:textId="706339CA" w:rsidR="00F44AD6" w:rsidRDefault="00F44AD6" w:rsidP="009E73C1">
            <w:pPr>
              <w:pStyle w:val="TableText"/>
            </w:pPr>
            <w:r>
              <w:t xml:space="preserve">The proposal demonstrates consideration for pedestrian movement and access at the ground floor and throughout public spaces. The public realm works include wayfinding, lighting and suitable paving and grades for people with limited mobility. </w:t>
            </w:r>
          </w:p>
          <w:p w14:paraId="7A7996EC" w14:textId="538F6B76" w:rsidR="00F44AD6" w:rsidRDefault="00F44AD6" w:rsidP="009E73C1">
            <w:pPr>
              <w:pStyle w:val="TableText"/>
            </w:pPr>
            <w:r>
              <w:t>Floor plans include annotations for AS1242 (stairs and ramps) and AS1735 (lifts).</w:t>
            </w:r>
          </w:p>
        </w:tc>
        <w:tc>
          <w:tcPr>
            <w:tcW w:w="1710" w:type="dxa"/>
            <w:tcBorders>
              <w:top w:val="single" w:sz="4" w:space="0" w:color="4E4E50" w:themeColor="accent2"/>
              <w:left w:val="nil"/>
              <w:bottom w:val="single" w:sz="4" w:space="0" w:color="4E4E50" w:themeColor="accent2"/>
              <w:right w:val="nil"/>
            </w:tcBorders>
          </w:tcPr>
          <w:p w14:paraId="4E5453CA" w14:textId="77777777" w:rsidR="00F44AD6" w:rsidRDefault="00F44AD6" w:rsidP="002F55A8">
            <w:pPr>
              <w:pStyle w:val="TableText"/>
              <w:rPr>
                <w:b/>
                <w:bCs/>
              </w:rPr>
            </w:pPr>
            <w:r>
              <w:rPr>
                <w:b/>
                <w:bCs/>
              </w:rPr>
              <w:t>Complies</w:t>
            </w:r>
          </w:p>
          <w:p w14:paraId="259FE814" w14:textId="2A31AA05" w:rsidR="00F44AD6" w:rsidRDefault="00F44AD6" w:rsidP="002F55A8">
            <w:pPr>
              <w:pStyle w:val="TableText"/>
              <w:rPr>
                <w:b/>
                <w:bCs/>
              </w:rPr>
            </w:pPr>
          </w:p>
        </w:tc>
      </w:tr>
      <w:tr w:rsidR="00F44AD6" w14:paraId="41B69D43" w14:textId="77777777" w:rsidTr="00612DAF">
        <w:tc>
          <w:tcPr>
            <w:tcW w:w="1781" w:type="dxa"/>
            <w:tcBorders>
              <w:top w:val="single" w:sz="4" w:space="0" w:color="4E4E50" w:themeColor="accent2"/>
              <w:left w:val="nil"/>
              <w:bottom w:val="single" w:sz="4" w:space="0" w:color="4E4E50" w:themeColor="accent2"/>
              <w:right w:val="nil"/>
            </w:tcBorders>
          </w:tcPr>
          <w:p w14:paraId="551B651C" w14:textId="48AFF762" w:rsidR="00F44AD6" w:rsidRDefault="00F44AD6" w:rsidP="002F55A8">
            <w:pPr>
              <w:pStyle w:val="TableText"/>
            </w:pPr>
            <w:r>
              <w:t>6.3.5 Site Facilities and Services</w:t>
            </w:r>
          </w:p>
        </w:tc>
        <w:tc>
          <w:tcPr>
            <w:tcW w:w="6499" w:type="dxa"/>
            <w:tcBorders>
              <w:top w:val="single" w:sz="4" w:space="0" w:color="4E4E50" w:themeColor="accent2"/>
              <w:left w:val="nil"/>
              <w:bottom w:val="single" w:sz="4" w:space="0" w:color="4E4E50" w:themeColor="accent2"/>
              <w:right w:val="nil"/>
            </w:tcBorders>
          </w:tcPr>
          <w:p w14:paraId="1B3941CE" w14:textId="3B15889B" w:rsidR="001E5EBA" w:rsidRDefault="001E5EBA" w:rsidP="009E73C1">
            <w:pPr>
              <w:pStyle w:val="TableText"/>
            </w:pPr>
            <w:r>
              <w:t xml:space="preserve">Regarding communications structures, air conditioners and service vents, all building plant and equipment is located in a rooftop plant room which has been integrated into the built form and incorporates visually interesting features so as not to detract from the façade. </w:t>
            </w:r>
          </w:p>
          <w:p w14:paraId="1702BE5D" w14:textId="158BBF64" w:rsidR="00EF360E" w:rsidRDefault="001E5EBA" w:rsidP="009E73C1">
            <w:pPr>
              <w:pStyle w:val="TableText"/>
            </w:pPr>
            <w:r>
              <w:t>Regarding waste and recycling storage and collection, t</w:t>
            </w:r>
            <w:r w:rsidR="00EF360E">
              <w:t>he proposal, including the provision of further information, has demonstrated adequate access and manoeuvrability for a garbage truck (HRV 12.5m)</w:t>
            </w:r>
            <w:r>
              <w:t xml:space="preserve"> through the associated service lane. The proposed location of the waste enclosure on the southern side of the building ensures it is out of site when viewed from Crawford Street. It is at grade with the service lane.</w:t>
            </w:r>
          </w:p>
        </w:tc>
        <w:tc>
          <w:tcPr>
            <w:tcW w:w="1710" w:type="dxa"/>
            <w:tcBorders>
              <w:top w:val="single" w:sz="4" w:space="0" w:color="4E4E50" w:themeColor="accent2"/>
              <w:left w:val="nil"/>
              <w:bottom w:val="single" w:sz="4" w:space="0" w:color="4E4E50" w:themeColor="accent2"/>
              <w:right w:val="nil"/>
            </w:tcBorders>
          </w:tcPr>
          <w:p w14:paraId="5F4DAB6F" w14:textId="385EF6DA" w:rsidR="00F44AD6" w:rsidRDefault="001E5EBA" w:rsidP="002F55A8">
            <w:pPr>
              <w:pStyle w:val="TableText"/>
              <w:rPr>
                <w:b/>
                <w:bCs/>
              </w:rPr>
            </w:pPr>
            <w:r>
              <w:rPr>
                <w:b/>
                <w:bCs/>
              </w:rPr>
              <w:t xml:space="preserve">Complies </w:t>
            </w:r>
          </w:p>
        </w:tc>
      </w:tr>
    </w:tbl>
    <w:p w14:paraId="3CF17412" w14:textId="235AC224" w:rsidR="004B1568" w:rsidRDefault="004B1568" w:rsidP="004B1568">
      <w:pPr>
        <w:pStyle w:val="Heading2"/>
      </w:pPr>
      <w:bookmarkStart w:id="43" w:name="_Toc48230317"/>
      <w:r>
        <w:lastRenderedPageBreak/>
        <w:t>Planning Agreements</w:t>
      </w:r>
      <w:bookmarkEnd w:id="43"/>
    </w:p>
    <w:p w14:paraId="4F47300F" w14:textId="65DFABD8" w:rsidR="00597376" w:rsidRDefault="00597376" w:rsidP="00597376">
      <w:pPr>
        <w:pStyle w:val="BodyText"/>
      </w:pPr>
      <w:r>
        <w:t xml:space="preserve">The proposed development is not subject to a planning agreement under Section 7.4 of the EP&amp;A Act. </w:t>
      </w:r>
    </w:p>
    <w:p w14:paraId="4FED275A" w14:textId="77777777" w:rsidR="00F44AD6" w:rsidRPr="004B1568" w:rsidRDefault="00F44AD6" w:rsidP="00F44AD6">
      <w:pPr>
        <w:pStyle w:val="Heading2"/>
        <w:rPr>
          <w:rFonts w:eastAsiaTheme="minorHAnsi"/>
        </w:rPr>
      </w:pPr>
      <w:bookmarkStart w:id="44" w:name="_Toc48230318"/>
      <w:r>
        <w:rPr>
          <w:rFonts w:eastAsiaTheme="minorHAnsi"/>
        </w:rPr>
        <w:t>Development Contributions</w:t>
      </w:r>
      <w:bookmarkEnd w:id="44"/>
    </w:p>
    <w:p w14:paraId="5502091B" w14:textId="1CEC24CD" w:rsidR="006E143C" w:rsidRDefault="006E143C" w:rsidP="00597376">
      <w:pPr>
        <w:pStyle w:val="BodyText"/>
        <w:rPr>
          <w:rFonts w:eastAsiaTheme="minorHAnsi"/>
        </w:rPr>
      </w:pPr>
      <w:r>
        <w:rPr>
          <w:rFonts w:eastAsiaTheme="minorHAnsi"/>
        </w:rPr>
        <w:t>Non-residential development is generally excluded from the application of the Queanbeyan Section 94 Contributions Plan.</w:t>
      </w:r>
    </w:p>
    <w:p w14:paraId="50D05CED" w14:textId="4F64BB21" w:rsidR="00F44AD6" w:rsidRPr="00F44AD6" w:rsidRDefault="006E143C" w:rsidP="00597376">
      <w:pPr>
        <w:pStyle w:val="BodyText"/>
        <w:rPr>
          <w:rFonts w:eastAsiaTheme="minorHAnsi"/>
        </w:rPr>
      </w:pPr>
      <w:r>
        <w:rPr>
          <w:rFonts w:eastAsiaTheme="minorHAnsi"/>
        </w:rPr>
        <w:t>The</w:t>
      </w:r>
      <w:r w:rsidR="00F44AD6">
        <w:rPr>
          <w:rFonts w:eastAsiaTheme="minorHAnsi"/>
        </w:rPr>
        <w:t xml:space="preserve"> proposed development is not expected to generate additional demand for public facilities or services. It is acknowledged that the proposed development includes significant public realm improvements and will upgrade the Lowe Street Car Park while also providing basement parking to be used by building tenants.</w:t>
      </w:r>
    </w:p>
    <w:p w14:paraId="51AAE20B" w14:textId="77777777" w:rsidR="00F44AD6" w:rsidRDefault="00F44AD6" w:rsidP="00F44AD6">
      <w:pPr>
        <w:pStyle w:val="Heading2"/>
        <w:rPr>
          <w:rFonts w:eastAsiaTheme="minorHAnsi"/>
        </w:rPr>
      </w:pPr>
      <w:bookmarkStart w:id="45" w:name="_Toc48230319"/>
      <w:r>
        <w:rPr>
          <w:rFonts w:eastAsiaTheme="minorHAnsi"/>
        </w:rPr>
        <w:t>Submissions</w:t>
      </w:r>
      <w:bookmarkEnd w:id="45"/>
    </w:p>
    <w:p w14:paraId="23AEAA2C" w14:textId="77777777" w:rsidR="00F44AD6" w:rsidRDefault="00F44AD6" w:rsidP="00F44AD6">
      <w:pPr>
        <w:pStyle w:val="BodyText"/>
      </w:pPr>
      <w:r w:rsidRPr="00C25D50">
        <w:rPr>
          <w:rFonts w:eastAsiaTheme="minorHAnsi"/>
        </w:rPr>
        <w:t>Pursuant to Section 4.15(1)(d) of the EP&amp;A Act, any</w:t>
      </w:r>
      <w:r>
        <w:rPr>
          <w:rFonts w:eastAsiaTheme="minorHAnsi"/>
        </w:rPr>
        <w:t xml:space="preserve"> public </w:t>
      </w:r>
      <w:r w:rsidRPr="00C25D50">
        <w:rPr>
          <w:rFonts w:eastAsiaTheme="minorHAnsi"/>
        </w:rPr>
        <w:t>submissions made in accordance with the Act or Regulation</w:t>
      </w:r>
      <w:r>
        <w:rPr>
          <w:rFonts w:eastAsiaTheme="minorHAnsi"/>
        </w:rPr>
        <w:t xml:space="preserve"> have been considered</w:t>
      </w:r>
      <w:r w:rsidRPr="00C25D50">
        <w:rPr>
          <w:rFonts w:eastAsiaTheme="minorHAnsi"/>
        </w:rPr>
        <w:t>.</w:t>
      </w:r>
      <w:r>
        <w:rPr>
          <w:rFonts w:eastAsiaTheme="minorHAnsi"/>
        </w:rPr>
        <w:t xml:space="preserve"> </w:t>
      </w:r>
      <w:r>
        <w:t>The application was then publicly notified for 28 days from 18 February to 17 March 2020 on Council’s website. No public submissions were received.</w:t>
      </w:r>
    </w:p>
    <w:p w14:paraId="7EC31C38" w14:textId="77777777" w:rsidR="00F44AD6" w:rsidRPr="0063342E" w:rsidRDefault="00F44AD6" w:rsidP="00F44AD6">
      <w:pPr>
        <w:pStyle w:val="Heading3"/>
      </w:pPr>
      <w:bookmarkStart w:id="46" w:name="_Toc48230320"/>
      <w:r>
        <w:t>Community consultation</w:t>
      </w:r>
      <w:bookmarkEnd w:id="46"/>
      <w:r>
        <w:t xml:space="preserve"> </w:t>
      </w:r>
    </w:p>
    <w:p w14:paraId="1E1E8010" w14:textId="5480B1E0" w:rsidR="00F44AD6" w:rsidRDefault="00372C93" w:rsidP="00F44AD6">
      <w:pPr>
        <w:pStyle w:val="BodyText"/>
      </w:pPr>
      <w:r>
        <w:t>While not forming part of the development assessment process, t</w:t>
      </w:r>
      <w:r w:rsidR="00F44AD6">
        <w:t>he Concept Plan for the proposed development was placed on public exhibition between 28 October and 29 November 2019. The following engagement activities were then undertaken by Council to promote awareness and seek feedback on the Concept Plan:</w:t>
      </w:r>
    </w:p>
    <w:p w14:paraId="1323B910" w14:textId="77777777" w:rsidR="00F44AD6" w:rsidRPr="00F5610D" w:rsidRDefault="00F44AD6" w:rsidP="00F44AD6">
      <w:pPr>
        <w:pStyle w:val="ListBullet0"/>
        <w:rPr>
          <w:szCs w:val="20"/>
        </w:rPr>
      </w:pPr>
      <w:r w:rsidRPr="00F5610D">
        <w:rPr>
          <w:szCs w:val="20"/>
        </w:rPr>
        <w:t xml:space="preserve">Documentation on Council’s Your Voice engagement hub </w:t>
      </w:r>
    </w:p>
    <w:p w14:paraId="5C7F46B8" w14:textId="77777777" w:rsidR="00F44AD6" w:rsidRPr="00F5610D" w:rsidRDefault="00F44AD6" w:rsidP="00F44AD6">
      <w:pPr>
        <w:pStyle w:val="ListBullet0"/>
        <w:rPr>
          <w:szCs w:val="20"/>
        </w:rPr>
      </w:pPr>
      <w:r w:rsidRPr="00F5610D">
        <w:rPr>
          <w:szCs w:val="20"/>
        </w:rPr>
        <w:t xml:space="preserve">Documentation available at Council’s Customer Service Centres and Libraries </w:t>
      </w:r>
    </w:p>
    <w:p w14:paraId="19C8EB9F" w14:textId="77777777" w:rsidR="00F44AD6" w:rsidRPr="00F5610D" w:rsidRDefault="00F44AD6" w:rsidP="00F44AD6">
      <w:pPr>
        <w:pStyle w:val="ListBullet0"/>
        <w:rPr>
          <w:szCs w:val="20"/>
        </w:rPr>
      </w:pPr>
      <w:r w:rsidRPr="00F5610D">
        <w:rPr>
          <w:szCs w:val="20"/>
        </w:rPr>
        <w:t xml:space="preserve">Media release </w:t>
      </w:r>
    </w:p>
    <w:p w14:paraId="4C03E005" w14:textId="77777777" w:rsidR="00F44AD6" w:rsidRPr="00F5610D" w:rsidRDefault="00F44AD6" w:rsidP="00F44AD6">
      <w:pPr>
        <w:pStyle w:val="ListBullet0"/>
        <w:rPr>
          <w:szCs w:val="20"/>
        </w:rPr>
      </w:pPr>
      <w:r w:rsidRPr="00F5610D">
        <w:rPr>
          <w:szCs w:val="20"/>
        </w:rPr>
        <w:t xml:space="preserve">Included in Council’s fortnightly advertisement in Queanbeyan Age/Chronicle, Braidwood Times and Bungendore Weekly </w:t>
      </w:r>
    </w:p>
    <w:p w14:paraId="4BB5EE91" w14:textId="77777777" w:rsidR="00F44AD6" w:rsidRPr="00F5610D" w:rsidRDefault="00F44AD6" w:rsidP="00F44AD6">
      <w:pPr>
        <w:pStyle w:val="ListBullet0"/>
        <w:rPr>
          <w:szCs w:val="20"/>
        </w:rPr>
      </w:pPr>
      <w:r w:rsidRPr="00F5610D">
        <w:rPr>
          <w:szCs w:val="20"/>
        </w:rPr>
        <w:t xml:space="preserve">Mentions in the Mayor’s Column in local newspapers </w:t>
      </w:r>
    </w:p>
    <w:p w14:paraId="1D8E06D9" w14:textId="77777777" w:rsidR="00F44AD6" w:rsidRPr="00F5610D" w:rsidRDefault="00F44AD6" w:rsidP="00F44AD6">
      <w:pPr>
        <w:pStyle w:val="ListBullet0"/>
        <w:rPr>
          <w:szCs w:val="20"/>
        </w:rPr>
      </w:pPr>
      <w:r w:rsidRPr="00F5610D">
        <w:rPr>
          <w:szCs w:val="20"/>
        </w:rPr>
        <w:t xml:space="preserve">Coverage in QPRC News which is delivered to 30,000 households </w:t>
      </w:r>
    </w:p>
    <w:p w14:paraId="6CA961F6" w14:textId="77777777" w:rsidR="00F44AD6" w:rsidRPr="00F5610D" w:rsidRDefault="00F44AD6" w:rsidP="00F44AD6">
      <w:pPr>
        <w:pStyle w:val="ListBullet0"/>
        <w:rPr>
          <w:szCs w:val="20"/>
        </w:rPr>
      </w:pPr>
      <w:r w:rsidRPr="00F5610D">
        <w:rPr>
          <w:szCs w:val="20"/>
        </w:rPr>
        <w:t xml:space="preserve">Various social media posts </w:t>
      </w:r>
    </w:p>
    <w:p w14:paraId="391FFDDF" w14:textId="77777777" w:rsidR="00F44AD6" w:rsidRPr="00F5610D" w:rsidRDefault="00F44AD6" w:rsidP="00F44AD6">
      <w:pPr>
        <w:pStyle w:val="ListBullet0"/>
        <w:rPr>
          <w:szCs w:val="20"/>
        </w:rPr>
      </w:pPr>
      <w:r w:rsidRPr="00F5610D">
        <w:rPr>
          <w:szCs w:val="20"/>
        </w:rPr>
        <w:t xml:space="preserve">Distribution via various e-newsletter lists, including economic development list and general Council e-newsletter subscribers </w:t>
      </w:r>
    </w:p>
    <w:p w14:paraId="1B5B363F" w14:textId="77777777" w:rsidR="00F44AD6" w:rsidRPr="00F5610D" w:rsidRDefault="00F44AD6" w:rsidP="00F44AD6">
      <w:pPr>
        <w:pStyle w:val="ListBullet0"/>
        <w:rPr>
          <w:szCs w:val="20"/>
        </w:rPr>
      </w:pPr>
      <w:r w:rsidRPr="00F5610D">
        <w:rPr>
          <w:szCs w:val="20"/>
        </w:rPr>
        <w:t xml:space="preserve">Information stall in Riverside Plaza on 7-8 November (approx. 100 interactions) </w:t>
      </w:r>
    </w:p>
    <w:p w14:paraId="153CC763" w14:textId="77777777" w:rsidR="00F44AD6" w:rsidRPr="00F5610D" w:rsidRDefault="00F44AD6" w:rsidP="00F44AD6">
      <w:pPr>
        <w:pStyle w:val="ListBullet0"/>
        <w:rPr>
          <w:szCs w:val="20"/>
        </w:rPr>
      </w:pPr>
      <w:r w:rsidRPr="00F5610D">
        <w:rPr>
          <w:szCs w:val="20"/>
        </w:rPr>
        <w:t xml:space="preserve">Community information session on 20 November </w:t>
      </w:r>
    </w:p>
    <w:p w14:paraId="57B9D2CB" w14:textId="77777777" w:rsidR="00F44AD6" w:rsidRPr="00F5610D" w:rsidRDefault="00F44AD6" w:rsidP="00F44AD6">
      <w:pPr>
        <w:pStyle w:val="ListBullet0"/>
        <w:rPr>
          <w:szCs w:val="20"/>
        </w:rPr>
      </w:pPr>
      <w:r w:rsidRPr="00F5610D">
        <w:rPr>
          <w:szCs w:val="20"/>
        </w:rPr>
        <w:t xml:space="preserve">Discussion at Council’s Community Meetings on 19 November (Braidwood), 26 November (Queanbeyan) and 3 December (Bungendore – after comments had closed). </w:t>
      </w:r>
    </w:p>
    <w:p w14:paraId="0ED88792" w14:textId="77777777" w:rsidR="00F44AD6" w:rsidRPr="00F5610D" w:rsidRDefault="00F44AD6" w:rsidP="00F44AD6">
      <w:pPr>
        <w:pStyle w:val="ListBullet0"/>
        <w:rPr>
          <w:szCs w:val="20"/>
        </w:rPr>
      </w:pPr>
      <w:r w:rsidRPr="00F5610D">
        <w:rPr>
          <w:szCs w:val="20"/>
        </w:rPr>
        <w:t xml:space="preserve">Staff information sessions and staff-focused content </w:t>
      </w:r>
    </w:p>
    <w:p w14:paraId="23D5AD01" w14:textId="77777777" w:rsidR="00F44AD6" w:rsidRDefault="00F44AD6" w:rsidP="00F44AD6">
      <w:pPr>
        <w:pStyle w:val="BodyText"/>
      </w:pPr>
      <w:r>
        <w:t>Over the course of this consultation period a total of 37 submissions were received by Council, including nine submissions from internal stakeholders within Council. General feedback from the public was positive, and comments can be summarised as follows:</w:t>
      </w:r>
    </w:p>
    <w:p w14:paraId="575AC558" w14:textId="77777777" w:rsidR="00F44AD6" w:rsidRDefault="00F44AD6" w:rsidP="00F44AD6">
      <w:pPr>
        <w:pStyle w:val="ListBullet0"/>
      </w:pPr>
      <w:r>
        <w:t xml:space="preserve">Support for the architectural style of the building as modern contribution to the Queanbeyan CBD. </w:t>
      </w:r>
    </w:p>
    <w:p w14:paraId="5051B3D5" w14:textId="77777777" w:rsidR="00F44AD6" w:rsidRDefault="00F44AD6" w:rsidP="00F44AD6">
      <w:pPr>
        <w:pStyle w:val="ListBullet0"/>
      </w:pPr>
      <w:r>
        <w:t>Support for the creation of new public spaces, including the rooftop garden.</w:t>
      </w:r>
    </w:p>
    <w:p w14:paraId="696CDDAD" w14:textId="77777777" w:rsidR="00F44AD6" w:rsidRDefault="00F44AD6" w:rsidP="00F44AD6">
      <w:pPr>
        <w:pStyle w:val="ListBullet0"/>
      </w:pPr>
      <w:r>
        <w:t>Concern over the provision of parking, and loss of surface parking in the Lowe Street Car Park.</w:t>
      </w:r>
    </w:p>
    <w:p w14:paraId="108113E3" w14:textId="77777777" w:rsidR="00F44AD6" w:rsidRDefault="00F44AD6" w:rsidP="00F44AD6">
      <w:pPr>
        <w:pStyle w:val="ListBullet0"/>
      </w:pPr>
      <w:r>
        <w:lastRenderedPageBreak/>
        <w:t>Concern about the impact to surrounding heritage buildings.</w:t>
      </w:r>
    </w:p>
    <w:p w14:paraId="42E49D5E" w14:textId="77777777" w:rsidR="00F44AD6" w:rsidRDefault="00F44AD6" w:rsidP="00F44AD6">
      <w:pPr>
        <w:pStyle w:val="ListBullet0"/>
      </w:pPr>
      <w:r>
        <w:t>Encouragement for public art, murals and the like to reflect the unique character and culture of Queanbeyan.</w:t>
      </w:r>
    </w:p>
    <w:p w14:paraId="5775F7F0" w14:textId="77777777" w:rsidR="00F44AD6" w:rsidRDefault="00F44AD6" w:rsidP="00F44AD6">
      <w:pPr>
        <w:pStyle w:val="BodyText"/>
      </w:pPr>
      <w:r>
        <w:t>It is understood that the proposed design as submitted in the development application is consistent with the Concept Design as exhibited as part of the community consultation period.</w:t>
      </w:r>
    </w:p>
    <w:p w14:paraId="78269914" w14:textId="77777777" w:rsidR="00F44AD6" w:rsidRDefault="00F44AD6" w:rsidP="00F44AD6">
      <w:pPr>
        <w:pStyle w:val="Heading2"/>
        <w:rPr>
          <w:rFonts w:eastAsiaTheme="minorHAnsi"/>
        </w:rPr>
      </w:pPr>
      <w:bookmarkStart w:id="47" w:name="_Toc48230321"/>
      <w:r>
        <w:rPr>
          <w:rFonts w:eastAsiaTheme="minorHAnsi"/>
        </w:rPr>
        <w:t>Public Interest</w:t>
      </w:r>
      <w:bookmarkEnd w:id="47"/>
    </w:p>
    <w:p w14:paraId="7BCB9A89" w14:textId="77777777" w:rsidR="00F44AD6" w:rsidRPr="004E3503" w:rsidRDefault="00F44AD6" w:rsidP="00F44AD6">
      <w:pPr>
        <w:pStyle w:val="BodyText"/>
        <w:rPr>
          <w:rFonts w:eastAsiaTheme="minorHAnsi"/>
        </w:rPr>
      </w:pPr>
      <w:r w:rsidRPr="004E3503">
        <w:rPr>
          <w:rFonts w:eastAsiaTheme="minorHAnsi"/>
        </w:rPr>
        <w:t>In accordance with Section 4.15(1)(e) of the EP&amp;A Act, the consent authority is required to consider whether the proposed development is in the public interest. The public interest is an overarching requirement which includes consideration of the matters discussed in this report. Implicit to the public interest is whether the proposed development adequately responds to and respects the desired outcomes expressed in relevant EPIs and whether, on balance, the impacts of the development can be appropriately mitigated or managed.</w:t>
      </w:r>
    </w:p>
    <w:p w14:paraId="4CF466CA" w14:textId="184CB28E" w:rsidR="00F44AD6" w:rsidRPr="00FB7209" w:rsidRDefault="00F44AD6" w:rsidP="00F44AD6">
      <w:pPr>
        <w:pStyle w:val="BodyText"/>
        <w:rPr>
          <w:rFonts w:eastAsiaTheme="minorHAnsi"/>
        </w:rPr>
      </w:pPr>
      <w:r w:rsidRPr="00FB7209">
        <w:rPr>
          <w:rFonts w:eastAsiaTheme="minorHAnsi"/>
        </w:rPr>
        <w:t>The proposed development is considered to be in the public interest as it will provide for a high-quality, visually prominent and well-designed public administration building and cultural centre for Queanbeyan residents. The building is complemented by proposed public realm improvements including a new public plaza and forecourt to Crawford Street. The public realm connects with the surrounding buildings including the Bicentennial Hall and Queanbeyan Performing Arts Centre to create a cultural precinct and centralised location for engaging i</w:t>
      </w:r>
      <w:r w:rsidR="00975060">
        <w:rPr>
          <w:rFonts w:eastAsiaTheme="minorHAnsi"/>
        </w:rPr>
        <w:t>n public life. It represents a</w:t>
      </w:r>
      <w:r w:rsidRPr="00FB7209">
        <w:rPr>
          <w:rFonts w:eastAsiaTheme="minorHAnsi"/>
        </w:rPr>
        <w:t xml:space="preserve"> major upgrade to an underutilised site in Queanbeyan’s CBD and is generally in accordance with the provisions of the </w:t>
      </w:r>
      <w:r>
        <w:rPr>
          <w:rFonts w:eastAsiaTheme="minorHAnsi"/>
        </w:rPr>
        <w:t>Q</w:t>
      </w:r>
      <w:r w:rsidRPr="00FB7209">
        <w:rPr>
          <w:rFonts w:eastAsiaTheme="minorHAnsi"/>
        </w:rPr>
        <w:t>LEP</w:t>
      </w:r>
      <w:r>
        <w:rPr>
          <w:rFonts w:eastAsiaTheme="minorHAnsi"/>
        </w:rPr>
        <w:t xml:space="preserve"> 2012</w:t>
      </w:r>
      <w:r w:rsidRPr="00FB7209">
        <w:rPr>
          <w:rFonts w:eastAsiaTheme="minorHAnsi"/>
        </w:rPr>
        <w:t xml:space="preserve"> and </w:t>
      </w:r>
      <w:r>
        <w:rPr>
          <w:rFonts w:eastAsiaTheme="minorHAnsi"/>
        </w:rPr>
        <w:t>Q</w:t>
      </w:r>
      <w:r w:rsidRPr="00FB7209">
        <w:rPr>
          <w:rFonts w:eastAsiaTheme="minorHAnsi"/>
        </w:rPr>
        <w:t>DCP</w:t>
      </w:r>
      <w:r>
        <w:rPr>
          <w:rFonts w:eastAsiaTheme="minorHAnsi"/>
        </w:rPr>
        <w:t xml:space="preserve"> 2012</w:t>
      </w:r>
      <w:r w:rsidRPr="00FB7209">
        <w:rPr>
          <w:rFonts w:eastAsiaTheme="minorHAnsi"/>
        </w:rPr>
        <w:t>, whilst minimising adverse environmental impacts on the surrounding built form and natural environment, including heritage items.</w:t>
      </w:r>
    </w:p>
    <w:p w14:paraId="2D65F38C" w14:textId="77777777" w:rsidR="00F44AD6" w:rsidRPr="00597376" w:rsidRDefault="00F44AD6" w:rsidP="00597376">
      <w:pPr>
        <w:pStyle w:val="BodyText"/>
      </w:pPr>
    </w:p>
    <w:p w14:paraId="6B871542" w14:textId="2E090190" w:rsidR="005D57CA" w:rsidRDefault="005D57CA" w:rsidP="000C527B">
      <w:pPr>
        <w:pStyle w:val="BodyText"/>
        <w:rPr>
          <w:rFonts w:eastAsiaTheme="minorHAnsi"/>
        </w:rPr>
      </w:pPr>
      <w:r>
        <w:rPr>
          <w:rFonts w:eastAsiaTheme="minorHAnsi"/>
        </w:rPr>
        <w:br w:type="page"/>
      </w:r>
    </w:p>
    <w:p w14:paraId="78B88D91" w14:textId="36526A1B" w:rsidR="00F90344" w:rsidRPr="009145C1" w:rsidRDefault="003D7D8B" w:rsidP="004B6138">
      <w:pPr>
        <w:pStyle w:val="Heading1"/>
        <w:rPr>
          <w:rFonts w:eastAsiaTheme="minorHAnsi"/>
        </w:rPr>
      </w:pPr>
      <w:bookmarkStart w:id="48" w:name="_Toc48230322"/>
      <w:r>
        <w:rPr>
          <w:rFonts w:eastAsiaTheme="minorHAnsi"/>
        </w:rPr>
        <w:lastRenderedPageBreak/>
        <w:t>E</w:t>
      </w:r>
      <w:r w:rsidR="005D57CA">
        <w:rPr>
          <w:rFonts w:eastAsiaTheme="minorHAnsi"/>
        </w:rPr>
        <w:t xml:space="preserve">nvironmental </w:t>
      </w:r>
      <w:r w:rsidR="00A9252D">
        <w:rPr>
          <w:rFonts w:eastAsiaTheme="minorHAnsi"/>
        </w:rPr>
        <w:t>Assessment</w:t>
      </w:r>
      <w:bookmarkEnd w:id="48"/>
      <w:r w:rsidR="005D57CA">
        <w:rPr>
          <w:rFonts w:eastAsiaTheme="minorHAnsi"/>
        </w:rPr>
        <w:t xml:space="preserve"> </w:t>
      </w:r>
    </w:p>
    <w:p w14:paraId="10775B59" w14:textId="1E65636A" w:rsidR="000C527B" w:rsidRDefault="005D57CA" w:rsidP="005D57CA">
      <w:pPr>
        <w:pStyle w:val="BodyText"/>
      </w:pPr>
      <w:r>
        <w:t>The following subsections assess the key impacts of the development in accordance with Section 4.15(1)(b) of the EP&amp;A Act to the extent they have not been addressed elsewhere in this assessment report.</w:t>
      </w:r>
    </w:p>
    <w:p w14:paraId="7B6D2C09" w14:textId="2B2E77ED" w:rsidR="0085791D" w:rsidRDefault="0085791D" w:rsidP="0085791D">
      <w:pPr>
        <w:pStyle w:val="Heading3"/>
        <w:rPr>
          <w:rFonts w:eastAsiaTheme="minorHAnsi"/>
        </w:rPr>
      </w:pPr>
      <w:bookmarkStart w:id="49" w:name="_Toc48230323"/>
      <w:bookmarkEnd w:id="27"/>
      <w:r w:rsidRPr="0085791D">
        <w:rPr>
          <w:rFonts w:eastAsiaTheme="minorHAnsi"/>
        </w:rPr>
        <w:t>Built form and streetscape</w:t>
      </w:r>
      <w:bookmarkEnd w:id="49"/>
    </w:p>
    <w:p w14:paraId="689AE6C1" w14:textId="258343FC" w:rsidR="0018372B" w:rsidRDefault="0018372B" w:rsidP="0018372B">
      <w:pPr>
        <w:pStyle w:val="BodyText"/>
        <w:rPr>
          <w:rFonts w:eastAsiaTheme="minorHAnsi"/>
        </w:rPr>
      </w:pPr>
      <w:r>
        <w:rPr>
          <w:rFonts w:eastAsiaTheme="minorHAnsi"/>
        </w:rPr>
        <w:t>The proposal will not have an adverse impact on the streetscape of Crawford Street</w:t>
      </w:r>
      <w:r w:rsidR="001122EF">
        <w:rPr>
          <w:rFonts w:eastAsiaTheme="minorHAnsi"/>
        </w:rPr>
        <w:t xml:space="preserve"> as follows:</w:t>
      </w:r>
    </w:p>
    <w:p w14:paraId="30BB7B1E" w14:textId="19E4530D" w:rsidR="00825C20" w:rsidRDefault="0018372B" w:rsidP="001122EF">
      <w:pPr>
        <w:pStyle w:val="ListBullet0"/>
        <w:rPr>
          <w:rFonts w:eastAsiaTheme="minorHAnsi"/>
        </w:rPr>
      </w:pPr>
      <w:r>
        <w:rPr>
          <w:rFonts w:eastAsiaTheme="minorHAnsi"/>
        </w:rPr>
        <w:t>Creation of a pedestrian forecourt provides a positive contribution to public realm and streetscape.</w:t>
      </w:r>
    </w:p>
    <w:p w14:paraId="1E47612A" w14:textId="716B06BD" w:rsidR="0018372B" w:rsidRDefault="0018372B" w:rsidP="001122EF">
      <w:pPr>
        <w:pStyle w:val="ListBullet0"/>
        <w:rPr>
          <w:rFonts w:eastAsiaTheme="minorHAnsi"/>
        </w:rPr>
      </w:pPr>
      <w:r>
        <w:rPr>
          <w:rFonts w:eastAsiaTheme="minorHAnsi"/>
        </w:rPr>
        <w:t>The proposal includes ground floor uses</w:t>
      </w:r>
      <w:r w:rsidR="00DE7C08">
        <w:rPr>
          <w:rFonts w:eastAsiaTheme="minorHAnsi"/>
        </w:rPr>
        <w:t>, which</w:t>
      </w:r>
      <w:r>
        <w:rPr>
          <w:rFonts w:eastAsiaTheme="minorHAnsi"/>
        </w:rPr>
        <w:t xml:space="preserve"> are consistent with achieving active frontage</w:t>
      </w:r>
      <w:r w:rsidR="00DE7C08">
        <w:rPr>
          <w:rFonts w:eastAsiaTheme="minorHAnsi"/>
        </w:rPr>
        <w:t>s</w:t>
      </w:r>
      <w:r>
        <w:rPr>
          <w:rFonts w:eastAsiaTheme="minorHAnsi"/>
        </w:rPr>
        <w:t xml:space="preserve"> and encouraging pedestrian activity. </w:t>
      </w:r>
    </w:p>
    <w:p w14:paraId="2809B7A1" w14:textId="7E0AE5FC" w:rsidR="00B40530" w:rsidRDefault="00B40530" w:rsidP="001122EF">
      <w:pPr>
        <w:pStyle w:val="ListBullet0"/>
        <w:rPr>
          <w:rFonts w:eastAsiaTheme="minorHAnsi"/>
        </w:rPr>
      </w:pPr>
      <w:r>
        <w:rPr>
          <w:rFonts w:eastAsiaTheme="minorHAnsi"/>
        </w:rPr>
        <w:t xml:space="preserve">Existing trees are to be retained and enhanced with additional hard and soft landscape treatments. </w:t>
      </w:r>
    </w:p>
    <w:p w14:paraId="31164E6F" w14:textId="05FAA235" w:rsidR="0018372B" w:rsidRDefault="0018372B" w:rsidP="00825C20">
      <w:pPr>
        <w:pStyle w:val="BodyText"/>
        <w:rPr>
          <w:rFonts w:eastAsiaTheme="minorHAnsi"/>
        </w:rPr>
      </w:pPr>
      <w:r>
        <w:rPr>
          <w:rFonts w:eastAsiaTheme="minorHAnsi"/>
        </w:rPr>
        <w:t>The proposal will not have an adverse impact on the surrounding built form as follows:</w:t>
      </w:r>
    </w:p>
    <w:p w14:paraId="7B2D8CE3" w14:textId="56484DDA" w:rsidR="0018372B" w:rsidRDefault="0018372B" w:rsidP="001122EF">
      <w:pPr>
        <w:pStyle w:val="ListBullet0"/>
        <w:rPr>
          <w:rFonts w:eastAsiaTheme="minorHAnsi"/>
        </w:rPr>
      </w:pPr>
      <w:r>
        <w:rPr>
          <w:rFonts w:eastAsiaTheme="minorHAnsi"/>
        </w:rPr>
        <w:t xml:space="preserve">It will provide a new high-quality public building </w:t>
      </w:r>
      <w:r w:rsidR="00550C41">
        <w:rPr>
          <w:rFonts w:eastAsiaTheme="minorHAnsi"/>
        </w:rPr>
        <w:t xml:space="preserve">comprising a public library, a Council shopfront and customer service centre, publicly accessible smart hub facilities, administrative offices for up to 200 staff, and </w:t>
      </w:r>
      <w:r w:rsidR="00DC4169">
        <w:rPr>
          <w:rFonts w:eastAsiaTheme="minorHAnsi"/>
        </w:rPr>
        <w:t>public meeting spaces.</w:t>
      </w:r>
      <w:r w:rsidR="00550C41">
        <w:rPr>
          <w:rFonts w:eastAsiaTheme="minorHAnsi"/>
        </w:rPr>
        <w:t xml:space="preserve"> </w:t>
      </w:r>
    </w:p>
    <w:p w14:paraId="0A423E37" w14:textId="5A95F45A" w:rsidR="0018372B" w:rsidRDefault="0018372B" w:rsidP="001122EF">
      <w:pPr>
        <w:pStyle w:val="ListBullet0"/>
        <w:rPr>
          <w:rFonts w:eastAsiaTheme="minorHAnsi"/>
        </w:rPr>
      </w:pPr>
      <w:r>
        <w:rPr>
          <w:rFonts w:eastAsiaTheme="minorHAnsi"/>
        </w:rPr>
        <w:t xml:space="preserve">The ground plane of the development is visually permeable and encourages access through and around the building to the public plaza at the rear of the development. </w:t>
      </w:r>
    </w:p>
    <w:p w14:paraId="2B30F908" w14:textId="422DD3BF" w:rsidR="00E37E95" w:rsidRPr="00E37E95" w:rsidRDefault="0018372B" w:rsidP="00E37E95">
      <w:pPr>
        <w:pStyle w:val="ListBullet0"/>
        <w:rPr>
          <w:rFonts w:eastAsiaTheme="minorHAnsi"/>
        </w:rPr>
      </w:pPr>
      <w:r>
        <w:rPr>
          <w:rFonts w:eastAsiaTheme="minorHAnsi"/>
        </w:rPr>
        <w:t xml:space="preserve">The proposed </w:t>
      </w:r>
      <w:r w:rsidR="00DE7C08">
        <w:rPr>
          <w:rFonts w:eastAsiaTheme="minorHAnsi"/>
        </w:rPr>
        <w:t>development</w:t>
      </w:r>
      <w:r>
        <w:rPr>
          <w:rFonts w:eastAsiaTheme="minorHAnsi"/>
        </w:rPr>
        <w:t xml:space="preserve"> will create a new built form for the Queanbeyan CBD, reflecting its image as a contemporary regional city. </w:t>
      </w:r>
    </w:p>
    <w:p w14:paraId="7DA06450" w14:textId="7A29B802" w:rsidR="0018372B" w:rsidRDefault="0018372B" w:rsidP="001122EF">
      <w:pPr>
        <w:pStyle w:val="ListBullet0"/>
        <w:rPr>
          <w:rFonts w:eastAsiaTheme="minorHAnsi"/>
        </w:rPr>
      </w:pPr>
      <w:r>
        <w:rPr>
          <w:rFonts w:eastAsiaTheme="minorHAnsi"/>
        </w:rPr>
        <w:t xml:space="preserve">The scale and height of the building is considered appropriate considering its role of public administration and provision of community services. </w:t>
      </w:r>
    </w:p>
    <w:p w14:paraId="04B6B96E" w14:textId="7D4A3E2C" w:rsidR="00E37E95" w:rsidRDefault="00E37E95" w:rsidP="001122EF">
      <w:pPr>
        <w:pStyle w:val="ListBullet0"/>
        <w:rPr>
          <w:rFonts w:eastAsiaTheme="minorHAnsi"/>
        </w:rPr>
      </w:pPr>
      <w:r>
        <w:rPr>
          <w:rFonts w:eastAsiaTheme="minorHAnsi"/>
        </w:rPr>
        <w:t>The proposed building presents as two different towers and creates diversity in height and architectural style of the Queanbeyan skyline.</w:t>
      </w:r>
    </w:p>
    <w:p w14:paraId="2BF542E9" w14:textId="74BB4F39" w:rsidR="00550C41" w:rsidRDefault="00550C41" w:rsidP="001122EF">
      <w:pPr>
        <w:pStyle w:val="ListBullet0"/>
        <w:rPr>
          <w:rFonts w:eastAsiaTheme="minorHAnsi"/>
        </w:rPr>
      </w:pPr>
      <w:r>
        <w:rPr>
          <w:rFonts w:eastAsiaTheme="minorHAnsi"/>
        </w:rPr>
        <w:t>The architectural style of the building is respectful of surrounding heritage items while still representing a modern, functional and visually interesting building.</w:t>
      </w:r>
    </w:p>
    <w:p w14:paraId="2DC3F633" w14:textId="77777777" w:rsidR="00355606" w:rsidRDefault="00355606" w:rsidP="00355606">
      <w:pPr>
        <w:pStyle w:val="Heading4"/>
      </w:pPr>
      <w:r>
        <w:t xml:space="preserve">Queanbeyan CBD Spatial Master Plan </w:t>
      </w:r>
    </w:p>
    <w:p w14:paraId="51C8BD92" w14:textId="77777777" w:rsidR="00355606" w:rsidRDefault="00355606" w:rsidP="00355606">
      <w:pPr>
        <w:pStyle w:val="BodyText"/>
      </w:pPr>
      <w:r>
        <w:t>The CBD Spatial Master Plan (the Master Plan) was completed in May 2019. It establishes a strategic framework for decision making, urban design and redevelopment of the Queanbeyan CBD over a 10 year period. The Master Plan identifies the Lowe Street Car Park as the preferred location for mixed use redevelopment, including a redeveloped Council Headquarters and Civic Square.</w:t>
      </w:r>
    </w:p>
    <w:p w14:paraId="50DB38D0" w14:textId="1D1D68FA" w:rsidR="00355606" w:rsidRDefault="00355606" w:rsidP="00355606">
      <w:pPr>
        <w:pStyle w:val="ListBullet0"/>
        <w:numPr>
          <w:ilvl w:val="0"/>
          <w:numId w:val="0"/>
        </w:numPr>
        <w:ind w:left="425" w:hanging="425"/>
        <w:rPr>
          <w:rFonts w:eastAsiaTheme="minorHAnsi"/>
        </w:rPr>
      </w:pPr>
      <w:r>
        <w:t>The proposed development is considered to be consistent with the intentions of the Master Plan.</w:t>
      </w:r>
    </w:p>
    <w:p w14:paraId="01EBC5CD" w14:textId="23F85A01" w:rsidR="00E37E95" w:rsidRDefault="00E37E95" w:rsidP="00E37E95">
      <w:pPr>
        <w:pStyle w:val="Heading4"/>
        <w:rPr>
          <w:rFonts w:eastAsiaTheme="minorHAnsi"/>
        </w:rPr>
      </w:pPr>
      <w:r>
        <w:rPr>
          <w:rFonts w:eastAsiaTheme="minorHAnsi"/>
        </w:rPr>
        <w:t xml:space="preserve">Building </w:t>
      </w:r>
      <w:r w:rsidR="00DC4169">
        <w:rPr>
          <w:rFonts w:eastAsiaTheme="minorHAnsi"/>
        </w:rPr>
        <w:t>H</w:t>
      </w:r>
      <w:r>
        <w:rPr>
          <w:rFonts w:eastAsiaTheme="minorHAnsi"/>
        </w:rPr>
        <w:t xml:space="preserve">eight </w:t>
      </w:r>
    </w:p>
    <w:p w14:paraId="410DBFC2" w14:textId="3F8BEEC2" w:rsidR="00E37E95" w:rsidRDefault="00E37E95" w:rsidP="00E37E95">
      <w:pPr>
        <w:pStyle w:val="BodyText"/>
        <w:rPr>
          <w:rFonts w:eastAsiaTheme="minorHAnsi"/>
        </w:rPr>
      </w:pPr>
      <w:r>
        <w:rPr>
          <w:rFonts w:eastAsiaTheme="minorHAnsi"/>
        </w:rPr>
        <w:t xml:space="preserve">The proposal has been designed as </w:t>
      </w:r>
      <w:r w:rsidR="00DE7C08">
        <w:rPr>
          <w:rFonts w:eastAsiaTheme="minorHAnsi"/>
        </w:rPr>
        <w:t xml:space="preserve">a </w:t>
      </w:r>
      <w:r>
        <w:rPr>
          <w:rFonts w:eastAsiaTheme="minorHAnsi"/>
        </w:rPr>
        <w:t xml:space="preserve">prominent public building for the Queanbeyan CBD and will be taller than the surrounding development. The height of the building extends beyond the permitted height limit for the </w:t>
      </w:r>
      <w:r w:rsidR="001E785C">
        <w:rPr>
          <w:rFonts w:eastAsiaTheme="minorHAnsi"/>
        </w:rPr>
        <w:t>s</w:t>
      </w:r>
      <w:r>
        <w:rPr>
          <w:rFonts w:eastAsiaTheme="minorHAnsi"/>
        </w:rPr>
        <w:t>ite</w:t>
      </w:r>
      <w:r w:rsidR="00842FBF">
        <w:rPr>
          <w:rFonts w:eastAsiaTheme="minorHAnsi"/>
        </w:rPr>
        <w:t xml:space="preserve"> for part of the site as discussed above</w:t>
      </w:r>
      <w:r w:rsidR="001E785C">
        <w:rPr>
          <w:rFonts w:eastAsiaTheme="minorHAnsi"/>
        </w:rPr>
        <w:t>, as prescribed by</w:t>
      </w:r>
      <w:r>
        <w:rPr>
          <w:rFonts w:eastAsiaTheme="minorHAnsi"/>
        </w:rPr>
        <w:t xml:space="preserve"> the QLEP</w:t>
      </w:r>
      <w:r w:rsidR="001E785C">
        <w:rPr>
          <w:rFonts w:eastAsiaTheme="minorHAnsi"/>
        </w:rPr>
        <w:t xml:space="preserve"> 2012,</w:t>
      </w:r>
      <w:r>
        <w:rPr>
          <w:rFonts w:eastAsiaTheme="minorHAnsi"/>
        </w:rPr>
        <w:t xml:space="preserve"> by approximately 3m at its highest point. However, the scale of the building is not considered out of character or overbearing </w:t>
      </w:r>
      <w:r w:rsidR="001E785C">
        <w:rPr>
          <w:rFonts w:eastAsiaTheme="minorHAnsi"/>
        </w:rPr>
        <w:t>in context with</w:t>
      </w:r>
      <w:r>
        <w:rPr>
          <w:rFonts w:eastAsiaTheme="minorHAnsi"/>
        </w:rPr>
        <w:t xml:space="preserve"> surrounding development, including heritage items. </w:t>
      </w:r>
    </w:p>
    <w:p w14:paraId="34347A3F" w14:textId="5D3C69AE" w:rsidR="00E37E95" w:rsidRDefault="00E37E95" w:rsidP="00E37E95">
      <w:pPr>
        <w:pStyle w:val="BodyText"/>
        <w:rPr>
          <w:rFonts w:eastAsiaTheme="minorHAnsi"/>
        </w:rPr>
      </w:pPr>
      <w:r>
        <w:rPr>
          <w:rFonts w:eastAsiaTheme="minorHAnsi"/>
        </w:rPr>
        <w:t>The proposal seeks to alter the development standard relating to height (Clause 4.3), pursuant to Clause 4.6(b) of the QLEP</w:t>
      </w:r>
      <w:r w:rsidR="001E785C">
        <w:rPr>
          <w:rFonts w:eastAsiaTheme="minorHAnsi"/>
        </w:rPr>
        <w:t xml:space="preserve"> 2012</w:t>
      </w:r>
      <w:r>
        <w:rPr>
          <w:rFonts w:eastAsiaTheme="minorHAnsi"/>
        </w:rPr>
        <w:t>, as follows:</w:t>
      </w:r>
    </w:p>
    <w:p w14:paraId="4FED3531" w14:textId="77777777" w:rsidR="00E37E95" w:rsidRPr="00E37E95" w:rsidRDefault="00E37E95" w:rsidP="00E37E95">
      <w:pPr>
        <w:pStyle w:val="ListBullet0"/>
      </w:pPr>
      <w:r w:rsidRPr="00E37E95">
        <w:t xml:space="preserve">Over the 25m portion of the site, the proposed building envelope has a maximum height of 32.97m, resulting in a maximum non-compliance of approximately 8m or 32%. </w:t>
      </w:r>
    </w:p>
    <w:p w14:paraId="5A1E7BB4" w14:textId="1BD5AE50" w:rsidR="00E37E95" w:rsidRPr="00E37E95" w:rsidRDefault="00E37E95" w:rsidP="00E37E95">
      <w:pPr>
        <w:pStyle w:val="ListBullet0"/>
      </w:pPr>
      <w:r w:rsidRPr="00E37E95">
        <w:lastRenderedPageBreak/>
        <w:t xml:space="preserve">Over the 30m portion of the site, the proposed building envelope has a maximum height of 32.97m, resulting in a maximum non-compliance of approximately 3m or 10%. </w:t>
      </w:r>
    </w:p>
    <w:p w14:paraId="57295ED6" w14:textId="77777777" w:rsidR="001E785C" w:rsidRDefault="00E37E95" w:rsidP="00E37E95">
      <w:pPr>
        <w:pStyle w:val="BodyText"/>
        <w:rPr>
          <w:rFonts w:eastAsiaTheme="minorHAnsi"/>
        </w:rPr>
      </w:pPr>
      <w:r>
        <w:rPr>
          <w:rFonts w:eastAsiaTheme="minorHAnsi"/>
        </w:rPr>
        <w:t xml:space="preserve">The justification to alter the development standard is considered acceptable and the proposal has demonstrated that the </w:t>
      </w:r>
      <w:r w:rsidR="001271CB">
        <w:rPr>
          <w:rFonts w:eastAsiaTheme="minorHAnsi"/>
        </w:rPr>
        <w:t xml:space="preserve">impact of </w:t>
      </w:r>
      <w:r w:rsidR="001E785C">
        <w:rPr>
          <w:rFonts w:eastAsiaTheme="minorHAnsi"/>
        </w:rPr>
        <w:t>the bulk and scale</w:t>
      </w:r>
      <w:r>
        <w:rPr>
          <w:rFonts w:eastAsiaTheme="minorHAnsi"/>
        </w:rPr>
        <w:t xml:space="preserve"> of the </w:t>
      </w:r>
      <w:r w:rsidR="001E785C">
        <w:rPr>
          <w:rFonts w:eastAsiaTheme="minorHAnsi"/>
        </w:rPr>
        <w:t>development</w:t>
      </w:r>
      <w:r>
        <w:rPr>
          <w:rFonts w:eastAsiaTheme="minorHAnsi"/>
        </w:rPr>
        <w:t xml:space="preserve"> </w:t>
      </w:r>
      <w:r w:rsidR="001271CB">
        <w:rPr>
          <w:rFonts w:eastAsiaTheme="minorHAnsi"/>
        </w:rPr>
        <w:t xml:space="preserve">on the surrounding area, </w:t>
      </w:r>
      <w:r w:rsidR="001E785C">
        <w:rPr>
          <w:rFonts w:eastAsiaTheme="minorHAnsi"/>
        </w:rPr>
        <w:t xml:space="preserve">is minimised, </w:t>
      </w:r>
      <w:r w:rsidR="001271CB">
        <w:rPr>
          <w:rFonts w:eastAsiaTheme="minorHAnsi"/>
        </w:rPr>
        <w:t>particular</w:t>
      </w:r>
      <w:r w:rsidR="001E785C">
        <w:rPr>
          <w:rFonts w:eastAsiaTheme="minorHAnsi"/>
        </w:rPr>
        <w:t>ly</w:t>
      </w:r>
      <w:r w:rsidR="001271CB">
        <w:rPr>
          <w:rFonts w:eastAsiaTheme="minorHAnsi"/>
        </w:rPr>
        <w:t xml:space="preserve"> in term of solar access and overshadowing. </w:t>
      </w:r>
    </w:p>
    <w:p w14:paraId="4ACCF3CA" w14:textId="355EBE4C" w:rsidR="00E37E95" w:rsidRPr="00E37E95" w:rsidRDefault="003254D7" w:rsidP="00E37E95">
      <w:pPr>
        <w:pStyle w:val="BodyText"/>
        <w:rPr>
          <w:rFonts w:eastAsiaTheme="minorHAnsi"/>
        </w:rPr>
      </w:pPr>
      <w:r>
        <w:rPr>
          <w:rFonts w:eastAsiaTheme="minorHAnsi"/>
        </w:rPr>
        <w:t>The proposed design has sought to locate hi</w:t>
      </w:r>
      <w:r w:rsidR="001271CB">
        <w:rPr>
          <w:rFonts w:eastAsiaTheme="minorHAnsi"/>
        </w:rPr>
        <w:t>gher elements, such as the lift overrun, towards the centre of the northern town</w:t>
      </w:r>
      <w:r>
        <w:rPr>
          <w:rFonts w:eastAsiaTheme="minorHAnsi"/>
        </w:rPr>
        <w:t xml:space="preserve"> to reduce potential overshadowing on the public plaza to the south and west. By</w:t>
      </w:r>
      <w:r w:rsidR="001271CB">
        <w:rPr>
          <w:rFonts w:eastAsiaTheme="minorHAnsi"/>
        </w:rPr>
        <w:t xml:space="preserve"> locating the lift overrun towards the centre of the building, it is acknowledged that the proponent has </w:t>
      </w:r>
      <w:r>
        <w:rPr>
          <w:rFonts w:eastAsiaTheme="minorHAnsi"/>
        </w:rPr>
        <w:t xml:space="preserve">also </w:t>
      </w:r>
      <w:r w:rsidR="001271CB">
        <w:rPr>
          <w:rFonts w:eastAsiaTheme="minorHAnsi"/>
        </w:rPr>
        <w:t>sought to minimise the visual impact of the increased height when viewed from the surrounding streets. I</w:t>
      </w:r>
      <w:r w:rsidR="00E37E95">
        <w:rPr>
          <w:rFonts w:eastAsiaTheme="minorHAnsi"/>
        </w:rPr>
        <w:t>t is accepted that the increased height above the maximum permitted allows the propos</w:t>
      </w:r>
      <w:r w:rsidR="00EF477D">
        <w:rPr>
          <w:rFonts w:eastAsiaTheme="minorHAnsi"/>
        </w:rPr>
        <w:t>ed</w:t>
      </w:r>
      <w:r w:rsidR="00E37E95">
        <w:rPr>
          <w:rFonts w:eastAsiaTheme="minorHAnsi"/>
        </w:rPr>
        <w:t xml:space="preserve"> building to create an elegant and proportionate design that would otherwise not be achieved by complying with the height control. </w:t>
      </w:r>
    </w:p>
    <w:p w14:paraId="7A32D21D" w14:textId="5F168F7A" w:rsidR="005D57CA" w:rsidRDefault="005D57CA" w:rsidP="005D57CA">
      <w:pPr>
        <w:pStyle w:val="Heading3"/>
      </w:pPr>
      <w:bookmarkStart w:id="50" w:name="_Toc48230324"/>
      <w:r w:rsidRPr="00C83084">
        <w:t>Traffic and parking</w:t>
      </w:r>
      <w:bookmarkEnd w:id="50"/>
    </w:p>
    <w:p w14:paraId="709B8ECB" w14:textId="2365135D" w:rsidR="001F42C1" w:rsidRDefault="001F42C1" w:rsidP="001F42C1">
      <w:pPr>
        <w:pStyle w:val="Heading4"/>
      </w:pPr>
      <w:r w:rsidRPr="00B75E70">
        <w:t>Traffic</w:t>
      </w:r>
    </w:p>
    <w:p w14:paraId="77A4962C" w14:textId="49CD3A91" w:rsidR="00FC22E3" w:rsidRDefault="00FC22E3" w:rsidP="00C0288F">
      <w:pPr>
        <w:pStyle w:val="BodyText"/>
      </w:pPr>
      <w:r>
        <w:t xml:space="preserve">A Traffic and Parking Assessment was provided by Taylor Thomson </w:t>
      </w:r>
      <w:proofErr w:type="spellStart"/>
      <w:r>
        <w:t>Whitting</w:t>
      </w:r>
      <w:proofErr w:type="spellEnd"/>
      <w:r>
        <w:t xml:space="preserve"> and details</w:t>
      </w:r>
      <w:r w:rsidR="00C0288F">
        <w:t xml:space="preserve"> the provision of car parking, service vehicle movements and the</w:t>
      </w:r>
      <w:r>
        <w:t xml:space="preserve"> </w:t>
      </w:r>
      <w:r w:rsidR="00A91DBC">
        <w:t>expected peak</w:t>
      </w:r>
      <w:r>
        <w:t xml:space="preserve"> traffic generation and volumes</w:t>
      </w:r>
      <w:r w:rsidR="00C0288F">
        <w:t xml:space="preserve"> for the surrounding streets</w:t>
      </w:r>
      <w:r>
        <w:t xml:space="preserve">. </w:t>
      </w:r>
    </w:p>
    <w:p w14:paraId="60494D23" w14:textId="04BDA770" w:rsidR="00C0288F" w:rsidRDefault="00C0288F" w:rsidP="00C0288F">
      <w:pPr>
        <w:pStyle w:val="BodyText"/>
      </w:pPr>
      <w:r>
        <w:t xml:space="preserve">The Traffic and Parking Assessment was referred to </w:t>
      </w:r>
      <w:r w:rsidR="00975060">
        <w:t>TfNSW</w:t>
      </w:r>
      <w:r>
        <w:t xml:space="preserve"> and comments were received on 3 March 2020.</w:t>
      </w:r>
    </w:p>
    <w:p w14:paraId="77210E7B" w14:textId="77777777" w:rsidR="00C0288F" w:rsidRDefault="00C0288F" w:rsidP="00C0288F">
      <w:pPr>
        <w:pStyle w:val="BodyText"/>
      </w:pPr>
      <w:r w:rsidRPr="00BB3F1C">
        <w:t>TfNSW note</w:t>
      </w:r>
      <w:r>
        <w:t>d</w:t>
      </w:r>
      <w:r w:rsidRPr="00BB3F1C">
        <w:t xml:space="preserve"> </w:t>
      </w:r>
      <w:r>
        <w:t>that it was unclear how the</w:t>
      </w:r>
      <w:r w:rsidRPr="00BB3F1C">
        <w:t xml:space="preserve"> traffic generation volumes in Table 3 and Table 4 of the Traffic and Parking</w:t>
      </w:r>
      <w:r>
        <w:t xml:space="preserve"> </w:t>
      </w:r>
      <w:r w:rsidRPr="00BB3F1C">
        <w:t>Assessment Report have been calculated.</w:t>
      </w:r>
      <w:r>
        <w:t xml:space="preserve"> Further information was requested to provide a </w:t>
      </w:r>
      <w:r w:rsidRPr="00BB3F1C">
        <w:t>detailed description of existing and predicted traffic movements</w:t>
      </w:r>
      <w:r>
        <w:t xml:space="preserve">, including traffic modelling if there is a likely to be an increase in traffic generated by the proposed development (e.g. SIDRA modelling). </w:t>
      </w:r>
    </w:p>
    <w:p w14:paraId="221453DE" w14:textId="491FFD82" w:rsidR="00B75E70" w:rsidRDefault="004C12F1" w:rsidP="00FC22E3">
      <w:pPr>
        <w:pStyle w:val="BodyText"/>
        <w:rPr>
          <w:highlight w:val="yellow"/>
        </w:rPr>
      </w:pPr>
      <w:r>
        <w:t>The applicant provided further information on 26 June 2020 which was referred to TfNSW for comment. On 10 August 2020, TfNSW confirmed it had reviewed the further information and was satisfied that the proposed development and associated traffic generation and movements will not have a significant impact on State roads.</w:t>
      </w:r>
    </w:p>
    <w:p w14:paraId="5E147EEC" w14:textId="4979E5DD" w:rsidR="0070791B" w:rsidRDefault="0070791B" w:rsidP="0070791B">
      <w:pPr>
        <w:pStyle w:val="Heading4"/>
      </w:pPr>
      <w:r>
        <w:t>Parking</w:t>
      </w:r>
    </w:p>
    <w:p w14:paraId="64743902" w14:textId="26B91CE9" w:rsidR="0070791B" w:rsidRDefault="00083436" w:rsidP="00FC22E3">
      <w:pPr>
        <w:pStyle w:val="BodyText"/>
      </w:pPr>
      <w:r>
        <w:t>A Traffic and Parking Assessment</w:t>
      </w:r>
      <w:r w:rsidR="00C0288F">
        <w:t xml:space="preserve"> (including further information provided 26 June 2020)</w:t>
      </w:r>
      <w:r>
        <w:t xml:space="preserve"> was provided by Taylor Thomson </w:t>
      </w:r>
      <w:proofErr w:type="spellStart"/>
      <w:r>
        <w:t>Whitting</w:t>
      </w:r>
      <w:proofErr w:type="spellEnd"/>
      <w:r>
        <w:t xml:space="preserve"> and including assessment of parking requirements. </w:t>
      </w:r>
    </w:p>
    <w:p w14:paraId="06246542" w14:textId="42A410CC" w:rsidR="00083436" w:rsidRDefault="00083436" w:rsidP="00FC22E3">
      <w:pPr>
        <w:pStyle w:val="BodyText"/>
      </w:pPr>
      <w:r>
        <w:t>The proposal will deliver 161 parking spaces as follows</w:t>
      </w:r>
      <w:r w:rsidR="002636FD">
        <w:t>:</w:t>
      </w:r>
    </w:p>
    <w:p w14:paraId="42E673D7" w14:textId="6623ADC9" w:rsidR="00083436" w:rsidRDefault="00083436" w:rsidP="00083436">
      <w:pPr>
        <w:pStyle w:val="TableCaption"/>
      </w:pPr>
      <w:bookmarkStart w:id="51" w:name="_Toc48230349"/>
      <w:r>
        <w:t>Table </w:t>
      </w:r>
      <w:r>
        <w:rPr>
          <w:noProof/>
        </w:rPr>
        <w:fldChar w:fldCharType="begin"/>
      </w:r>
      <w:r>
        <w:rPr>
          <w:noProof/>
        </w:rPr>
        <w:instrText xml:space="preserve"> SEQ Table \* ARABIC </w:instrText>
      </w:r>
      <w:r>
        <w:rPr>
          <w:noProof/>
        </w:rPr>
        <w:fldChar w:fldCharType="separate"/>
      </w:r>
      <w:r w:rsidR="008F4696">
        <w:rPr>
          <w:noProof/>
        </w:rPr>
        <w:t>7</w:t>
      </w:r>
      <w:r>
        <w:rPr>
          <w:noProof/>
        </w:rPr>
        <w:fldChar w:fldCharType="end"/>
      </w:r>
      <w:r>
        <w:tab/>
        <w:t>QDCP Assessment</w:t>
      </w:r>
      <w:bookmarkEnd w:id="51"/>
      <w:r>
        <w:t xml:space="preserve"> </w:t>
      </w:r>
    </w:p>
    <w:tbl>
      <w:tblPr>
        <w:tblStyle w:val="GreenLinedTable"/>
        <w:tblW w:w="4949" w:type="pct"/>
        <w:tblLayout w:type="fixed"/>
        <w:tblLook w:val="0620" w:firstRow="1" w:lastRow="0" w:firstColumn="0" w:lastColumn="0" w:noHBand="1" w:noVBand="1"/>
      </w:tblPr>
      <w:tblGrid>
        <w:gridCol w:w="1997"/>
        <w:gridCol w:w="1998"/>
        <w:gridCol w:w="1998"/>
        <w:gridCol w:w="1998"/>
        <w:gridCol w:w="1998"/>
      </w:tblGrid>
      <w:tr w:rsidR="002636FD" w14:paraId="3EF15E27" w14:textId="77777777" w:rsidTr="002636FD">
        <w:trPr>
          <w:cnfStyle w:val="100000000000" w:firstRow="1" w:lastRow="0" w:firstColumn="0" w:lastColumn="0" w:oddVBand="0" w:evenVBand="0" w:oddHBand="0" w:evenHBand="0" w:firstRowFirstColumn="0" w:firstRowLastColumn="0" w:lastRowFirstColumn="0" w:lastRowLastColumn="0"/>
          <w:tblHeader/>
        </w:trPr>
        <w:tc>
          <w:tcPr>
            <w:tcW w:w="1997" w:type="dxa"/>
            <w:hideMark/>
          </w:tcPr>
          <w:p w14:paraId="1DF6C95D" w14:textId="00D18885" w:rsidR="002636FD" w:rsidRDefault="002636FD" w:rsidP="00B92788">
            <w:pPr>
              <w:pStyle w:val="TableHeadingGrey"/>
            </w:pPr>
            <w:r>
              <w:t xml:space="preserve">Description </w:t>
            </w:r>
          </w:p>
        </w:tc>
        <w:tc>
          <w:tcPr>
            <w:tcW w:w="1998" w:type="dxa"/>
            <w:hideMark/>
          </w:tcPr>
          <w:p w14:paraId="1F97A87D" w14:textId="75CCD8DB" w:rsidR="002636FD" w:rsidRPr="00083436" w:rsidRDefault="002636FD" w:rsidP="00B92788">
            <w:pPr>
              <w:pStyle w:val="TableHeadingGrey"/>
            </w:pPr>
            <w:r>
              <w:t>GFA (m</w:t>
            </w:r>
            <w:r>
              <w:rPr>
                <w:vertAlign w:val="superscript"/>
              </w:rPr>
              <w:t>2</w:t>
            </w:r>
            <w:r>
              <w:t>)</w:t>
            </w:r>
          </w:p>
        </w:tc>
        <w:tc>
          <w:tcPr>
            <w:tcW w:w="1998" w:type="dxa"/>
          </w:tcPr>
          <w:p w14:paraId="79C22108" w14:textId="3A6DEA06" w:rsidR="002636FD" w:rsidRDefault="002636FD" w:rsidP="00B92788">
            <w:pPr>
              <w:pStyle w:val="TableHeadingGrey"/>
            </w:pPr>
            <w:r>
              <w:t xml:space="preserve">Provision Rate </w:t>
            </w:r>
          </w:p>
        </w:tc>
        <w:tc>
          <w:tcPr>
            <w:tcW w:w="1998" w:type="dxa"/>
          </w:tcPr>
          <w:p w14:paraId="5CDB7397" w14:textId="477FDEC3" w:rsidR="002636FD" w:rsidRDefault="002636FD" w:rsidP="00B92788">
            <w:pPr>
              <w:pStyle w:val="TableHeadingGrey"/>
            </w:pPr>
            <w:r>
              <w:t>Spaces required</w:t>
            </w:r>
          </w:p>
        </w:tc>
        <w:tc>
          <w:tcPr>
            <w:tcW w:w="1998" w:type="dxa"/>
          </w:tcPr>
          <w:p w14:paraId="5AA13C88" w14:textId="1F815B79" w:rsidR="002636FD" w:rsidRDefault="002636FD" w:rsidP="00B92788">
            <w:pPr>
              <w:pStyle w:val="TableHeadingGrey"/>
            </w:pPr>
            <w:r>
              <w:t xml:space="preserve">Spaces provided </w:t>
            </w:r>
          </w:p>
        </w:tc>
      </w:tr>
      <w:tr w:rsidR="002636FD" w14:paraId="6FBDC146" w14:textId="77777777" w:rsidTr="002636FD">
        <w:tc>
          <w:tcPr>
            <w:tcW w:w="1997" w:type="dxa"/>
            <w:tcBorders>
              <w:top w:val="single" w:sz="4" w:space="0" w:color="4E4E50" w:themeColor="accent2"/>
              <w:left w:val="nil"/>
              <w:bottom w:val="single" w:sz="4" w:space="0" w:color="4E4E50" w:themeColor="accent2"/>
              <w:right w:val="nil"/>
            </w:tcBorders>
          </w:tcPr>
          <w:p w14:paraId="4CB5CD84" w14:textId="56850023" w:rsidR="002636FD" w:rsidRDefault="002636FD" w:rsidP="00B92788">
            <w:pPr>
              <w:pStyle w:val="TableText"/>
            </w:pPr>
            <w:r>
              <w:t xml:space="preserve">Community facility </w:t>
            </w:r>
          </w:p>
        </w:tc>
        <w:tc>
          <w:tcPr>
            <w:tcW w:w="1998" w:type="dxa"/>
            <w:tcBorders>
              <w:top w:val="single" w:sz="4" w:space="0" w:color="4E4E50" w:themeColor="accent2"/>
              <w:left w:val="nil"/>
              <w:bottom w:val="single" w:sz="4" w:space="0" w:color="4E4E50" w:themeColor="accent2"/>
              <w:right w:val="nil"/>
            </w:tcBorders>
          </w:tcPr>
          <w:p w14:paraId="2A9B61F8" w14:textId="16375057" w:rsidR="002636FD" w:rsidRDefault="002636FD" w:rsidP="00B92788">
            <w:pPr>
              <w:pStyle w:val="TableText"/>
            </w:pPr>
            <w:r>
              <w:t>1,442</w:t>
            </w:r>
          </w:p>
        </w:tc>
        <w:tc>
          <w:tcPr>
            <w:tcW w:w="1998" w:type="dxa"/>
            <w:tcBorders>
              <w:top w:val="single" w:sz="4" w:space="0" w:color="4E4E50" w:themeColor="accent2"/>
              <w:left w:val="nil"/>
              <w:bottom w:val="single" w:sz="4" w:space="0" w:color="4E4E50" w:themeColor="accent2"/>
              <w:right w:val="nil"/>
            </w:tcBorders>
          </w:tcPr>
          <w:p w14:paraId="12053CFE" w14:textId="5D44EA5E" w:rsidR="002636FD" w:rsidRPr="002636FD" w:rsidRDefault="002636FD" w:rsidP="00B92788">
            <w:pPr>
              <w:pStyle w:val="TableText"/>
              <w:rPr>
                <w:bCs/>
              </w:rPr>
            </w:pPr>
            <w:r w:rsidRPr="00083436">
              <w:rPr>
                <w:bCs/>
              </w:rPr>
              <w:t>Individual assessment</w:t>
            </w:r>
            <w:r>
              <w:rPr>
                <w:bCs/>
              </w:rPr>
              <w:t xml:space="preserve"> (1 space per </w:t>
            </w:r>
            <w:r w:rsidRPr="002636FD">
              <w:rPr>
                <w:bCs/>
              </w:rPr>
              <w:t>1</w:t>
            </w:r>
            <w:r>
              <w:rPr>
                <w:bCs/>
              </w:rPr>
              <w:t>4</w:t>
            </w:r>
            <w:r w:rsidRPr="002636FD">
              <w:rPr>
                <w:bCs/>
              </w:rPr>
              <w:t>0m</w:t>
            </w:r>
            <w:r w:rsidRPr="002636FD">
              <w:rPr>
                <w:bCs/>
                <w:vertAlign w:val="superscript"/>
              </w:rPr>
              <w:t>2</w:t>
            </w:r>
            <w:r>
              <w:rPr>
                <w:bCs/>
              </w:rPr>
              <w:t>)</w:t>
            </w:r>
          </w:p>
        </w:tc>
        <w:tc>
          <w:tcPr>
            <w:tcW w:w="1998" w:type="dxa"/>
            <w:tcBorders>
              <w:top w:val="single" w:sz="4" w:space="0" w:color="4E4E50" w:themeColor="accent2"/>
              <w:left w:val="nil"/>
              <w:bottom w:val="single" w:sz="4" w:space="0" w:color="4E4E50" w:themeColor="accent2"/>
              <w:right w:val="nil"/>
            </w:tcBorders>
          </w:tcPr>
          <w:p w14:paraId="75804E24" w14:textId="63030730" w:rsidR="002636FD" w:rsidRPr="004D606B" w:rsidRDefault="002636FD" w:rsidP="00B92788">
            <w:pPr>
              <w:pStyle w:val="TableText"/>
              <w:rPr>
                <w:b/>
                <w:bCs/>
              </w:rPr>
            </w:pPr>
            <w:r w:rsidRPr="00083436">
              <w:rPr>
                <w:bCs/>
              </w:rPr>
              <w:t>Individual assessment</w:t>
            </w:r>
          </w:p>
        </w:tc>
        <w:tc>
          <w:tcPr>
            <w:tcW w:w="1998" w:type="dxa"/>
            <w:tcBorders>
              <w:top w:val="single" w:sz="4" w:space="0" w:color="4E4E50" w:themeColor="accent2"/>
              <w:left w:val="nil"/>
              <w:bottom w:val="single" w:sz="4" w:space="0" w:color="4E4E50" w:themeColor="accent2"/>
              <w:right w:val="nil"/>
            </w:tcBorders>
          </w:tcPr>
          <w:p w14:paraId="5D44513C" w14:textId="79439212" w:rsidR="002636FD" w:rsidRPr="002636FD" w:rsidRDefault="002636FD" w:rsidP="00B92788">
            <w:pPr>
              <w:pStyle w:val="TableText"/>
              <w:rPr>
                <w:bCs/>
              </w:rPr>
            </w:pPr>
            <w:r w:rsidRPr="002636FD">
              <w:rPr>
                <w:bCs/>
              </w:rPr>
              <w:t>11</w:t>
            </w:r>
          </w:p>
        </w:tc>
      </w:tr>
      <w:tr w:rsidR="002636FD" w14:paraId="34AA13C0" w14:textId="77777777" w:rsidTr="002636FD">
        <w:tc>
          <w:tcPr>
            <w:tcW w:w="1997" w:type="dxa"/>
            <w:tcBorders>
              <w:top w:val="single" w:sz="4" w:space="0" w:color="4E4E50" w:themeColor="accent2"/>
              <w:left w:val="nil"/>
              <w:bottom w:val="single" w:sz="4" w:space="0" w:color="4E4E50" w:themeColor="accent2"/>
              <w:right w:val="nil"/>
            </w:tcBorders>
          </w:tcPr>
          <w:p w14:paraId="3E6DE892" w14:textId="3AA17210" w:rsidR="002636FD" w:rsidRDefault="002636FD" w:rsidP="00B92788">
            <w:pPr>
              <w:pStyle w:val="TableText"/>
            </w:pPr>
            <w:r>
              <w:t xml:space="preserve">Public administration </w:t>
            </w:r>
          </w:p>
        </w:tc>
        <w:tc>
          <w:tcPr>
            <w:tcW w:w="1998" w:type="dxa"/>
            <w:tcBorders>
              <w:top w:val="single" w:sz="4" w:space="0" w:color="4E4E50" w:themeColor="accent2"/>
              <w:left w:val="nil"/>
              <w:bottom w:val="single" w:sz="4" w:space="0" w:color="4E4E50" w:themeColor="accent2"/>
              <w:right w:val="nil"/>
            </w:tcBorders>
          </w:tcPr>
          <w:p w14:paraId="197FF04C" w14:textId="2CDB2B9C" w:rsidR="002636FD" w:rsidRDefault="002636FD" w:rsidP="00B92788">
            <w:pPr>
              <w:pStyle w:val="TableText"/>
            </w:pPr>
            <w:r>
              <w:t>5,602</w:t>
            </w:r>
          </w:p>
        </w:tc>
        <w:tc>
          <w:tcPr>
            <w:tcW w:w="1998" w:type="dxa"/>
            <w:tcBorders>
              <w:top w:val="single" w:sz="4" w:space="0" w:color="4E4E50" w:themeColor="accent2"/>
              <w:left w:val="nil"/>
              <w:bottom w:val="single" w:sz="4" w:space="0" w:color="4E4E50" w:themeColor="accent2"/>
              <w:right w:val="nil"/>
            </w:tcBorders>
          </w:tcPr>
          <w:p w14:paraId="5C32637B" w14:textId="5E0A0B46" w:rsidR="002636FD" w:rsidRPr="002636FD" w:rsidRDefault="002636FD" w:rsidP="00B92788">
            <w:pPr>
              <w:pStyle w:val="TableText"/>
              <w:rPr>
                <w:bCs/>
                <w:vertAlign w:val="superscript"/>
              </w:rPr>
            </w:pPr>
            <w:r w:rsidRPr="002636FD">
              <w:rPr>
                <w:bCs/>
              </w:rPr>
              <w:t>1 space per 100m</w:t>
            </w:r>
            <w:r w:rsidRPr="002636FD">
              <w:rPr>
                <w:bCs/>
                <w:vertAlign w:val="superscript"/>
              </w:rPr>
              <w:t>2</w:t>
            </w:r>
          </w:p>
        </w:tc>
        <w:tc>
          <w:tcPr>
            <w:tcW w:w="1998" w:type="dxa"/>
            <w:tcBorders>
              <w:top w:val="single" w:sz="4" w:space="0" w:color="4E4E50" w:themeColor="accent2"/>
              <w:left w:val="nil"/>
              <w:bottom w:val="single" w:sz="4" w:space="0" w:color="4E4E50" w:themeColor="accent2"/>
              <w:right w:val="nil"/>
            </w:tcBorders>
          </w:tcPr>
          <w:p w14:paraId="141F57A7" w14:textId="224CDCC3" w:rsidR="002636FD" w:rsidRPr="002636FD" w:rsidRDefault="002636FD" w:rsidP="00B92788">
            <w:pPr>
              <w:pStyle w:val="TableText"/>
              <w:rPr>
                <w:bCs/>
              </w:rPr>
            </w:pPr>
            <w:r>
              <w:rPr>
                <w:bCs/>
              </w:rPr>
              <w:t>56</w:t>
            </w:r>
          </w:p>
        </w:tc>
        <w:tc>
          <w:tcPr>
            <w:tcW w:w="1998" w:type="dxa"/>
            <w:tcBorders>
              <w:top w:val="single" w:sz="4" w:space="0" w:color="4E4E50" w:themeColor="accent2"/>
              <w:left w:val="nil"/>
              <w:bottom w:val="single" w:sz="4" w:space="0" w:color="4E4E50" w:themeColor="accent2"/>
              <w:right w:val="nil"/>
            </w:tcBorders>
          </w:tcPr>
          <w:p w14:paraId="11725FB6" w14:textId="482F78A7" w:rsidR="002636FD" w:rsidRPr="002636FD" w:rsidRDefault="002636FD" w:rsidP="00B92788">
            <w:pPr>
              <w:pStyle w:val="TableText"/>
              <w:rPr>
                <w:bCs/>
              </w:rPr>
            </w:pPr>
            <w:r>
              <w:rPr>
                <w:bCs/>
              </w:rPr>
              <w:t>56</w:t>
            </w:r>
          </w:p>
        </w:tc>
      </w:tr>
      <w:tr w:rsidR="002636FD" w14:paraId="70600D08" w14:textId="77777777" w:rsidTr="002636FD">
        <w:tc>
          <w:tcPr>
            <w:tcW w:w="1997" w:type="dxa"/>
            <w:tcBorders>
              <w:top w:val="single" w:sz="4" w:space="0" w:color="4E4E50" w:themeColor="accent2"/>
              <w:left w:val="nil"/>
              <w:bottom w:val="single" w:sz="4" w:space="0" w:color="4E4E50" w:themeColor="accent2"/>
              <w:right w:val="nil"/>
            </w:tcBorders>
          </w:tcPr>
          <w:p w14:paraId="708EAF3C" w14:textId="5B48FCF1" w:rsidR="002636FD" w:rsidRDefault="002636FD" w:rsidP="00B92788">
            <w:pPr>
              <w:pStyle w:val="TableText"/>
            </w:pPr>
            <w:r>
              <w:t>Service vehicles</w:t>
            </w:r>
          </w:p>
        </w:tc>
        <w:tc>
          <w:tcPr>
            <w:tcW w:w="1998" w:type="dxa"/>
            <w:tcBorders>
              <w:top w:val="single" w:sz="4" w:space="0" w:color="4E4E50" w:themeColor="accent2"/>
              <w:left w:val="nil"/>
              <w:bottom w:val="single" w:sz="4" w:space="0" w:color="4E4E50" w:themeColor="accent2"/>
              <w:right w:val="nil"/>
            </w:tcBorders>
          </w:tcPr>
          <w:p w14:paraId="2CE582B0" w14:textId="10DBCCB5" w:rsidR="002636FD" w:rsidRDefault="002636FD" w:rsidP="00B92788">
            <w:pPr>
              <w:pStyle w:val="TableText"/>
            </w:pPr>
            <w:r>
              <w:t>8,466</w:t>
            </w:r>
          </w:p>
        </w:tc>
        <w:tc>
          <w:tcPr>
            <w:tcW w:w="1998" w:type="dxa"/>
            <w:tcBorders>
              <w:top w:val="single" w:sz="4" w:space="0" w:color="4E4E50" w:themeColor="accent2"/>
              <w:left w:val="nil"/>
              <w:bottom w:val="single" w:sz="4" w:space="0" w:color="4E4E50" w:themeColor="accent2"/>
              <w:right w:val="nil"/>
            </w:tcBorders>
          </w:tcPr>
          <w:p w14:paraId="7BD3775F" w14:textId="1DCB0717" w:rsidR="002636FD" w:rsidRPr="002636FD" w:rsidRDefault="002636FD" w:rsidP="00B92788">
            <w:pPr>
              <w:pStyle w:val="TableText"/>
              <w:rPr>
                <w:bCs/>
              </w:rPr>
            </w:pPr>
            <w:r w:rsidRPr="002636FD">
              <w:rPr>
                <w:bCs/>
              </w:rPr>
              <w:t xml:space="preserve">1 space per </w:t>
            </w:r>
            <w:r>
              <w:rPr>
                <w:bCs/>
              </w:rPr>
              <w:t>4,0</w:t>
            </w:r>
            <w:r w:rsidRPr="002636FD">
              <w:rPr>
                <w:bCs/>
              </w:rPr>
              <w:t>00m</w:t>
            </w:r>
            <w:r w:rsidRPr="002636FD">
              <w:rPr>
                <w:bCs/>
                <w:vertAlign w:val="superscript"/>
              </w:rPr>
              <w:t>2</w:t>
            </w:r>
          </w:p>
        </w:tc>
        <w:tc>
          <w:tcPr>
            <w:tcW w:w="1998" w:type="dxa"/>
            <w:tcBorders>
              <w:top w:val="single" w:sz="4" w:space="0" w:color="4E4E50" w:themeColor="accent2"/>
              <w:left w:val="nil"/>
              <w:bottom w:val="single" w:sz="4" w:space="0" w:color="4E4E50" w:themeColor="accent2"/>
              <w:right w:val="nil"/>
            </w:tcBorders>
          </w:tcPr>
          <w:p w14:paraId="7A9764C1" w14:textId="33D3B9C7" w:rsidR="002636FD" w:rsidRPr="002636FD" w:rsidRDefault="002636FD" w:rsidP="00B92788">
            <w:pPr>
              <w:pStyle w:val="TableText"/>
              <w:rPr>
                <w:bCs/>
              </w:rPr>
            </w:pPr>
            <w:r>
              <w:rPr>
                <w:bCs/>
              </w:rPr>
              <w:t>2.2</w:t>
            </w:r>
          </w:p>
        </w:tc>
        <w:tc>
          <w:tcPr>
            <w:tcW w:w="1998" w:type="dxa"/>
            <w:tcBorders>
              <w:top w:val="single" w:sz="4" w:space="0" w:color="4E4E50" w:themeColor="accent2"/>
              <w:left w:val="nil"/>
              <w:bottom w:val="single" w:sz="4" w:space="0" w:color="4E4E50" w:themeColor="accent2"/>
              <w:right w:val="nil"/>
            </w:tcBorders>
          </w:tcPr>
          <w:p w14:paraId="1D013A06" w14:textId="6E5E5444" w:rsidR="002636FD" w:rsidRPr="002636FD" w:rsidRDefault="002636FD" w:rsidP="00B92788">
            <w:pPr>
              <w:pStyle w:val="TableText"/>
              <w:rPr>
                <w:bCs/>
              </w:rPr>
            </w:pPr>
            <w:r>
              <w:rPr>
                <w:bCs/>
              </w:rPr>
              <w:t>3</w:t>
            </w:r>
          </w:p>
        </w:tc>
      </w:tr>
      <w:tr w:rsidR="002636FD" w14:paraId="0F05FF30" w14:textId="77777777" w:rsidTr="002636FD">
        <w:tc>
          <w:tcPr>
            <w:tcW w:w="1997" w:type="dxa"/>
            <w:tcBorders>
              <w:top w:val="single" w:sz="4" w:space="0" w:color="4E4E50" w:themeColor="accent2"/>
              <w:left w:val="nil"/>
              <w:bottom w:val="single" w:sz="4" w:space="0" w:color="4E4E50" w:themeColor="accent2"/>
              <w:right w:val="nil"/>
            </w:tcBorders>
          </w:tcPr>
          <w:p w14:paraId="5CB18A41" w14:textId="6E1D70EB" w:rsidR="002636FD" w:rsidRDefault="002636FD" w:rsidP="00B92788">
            <w:pPr>
              <w:pStyle w:val="TableText"/>
            </w:pPr>
            <w:r>
              <w:t xml:space="preserve">Replacement of existing public parking spaces </w:t>
            </w:r>
          </w:p>
        </w:tc>
        <w:tc>
          <w:tcPr>
            <w:tcW w:w="1998" w:type="dxa"/>
            <w:tcBorders>
              <w:top w:val="single" w:sz="4" w:space="0" w:color="4E4E50" w:themeColor="accent2"/>
              <w:left w:val="nil"/>
              <w:bottom w:val="single" w:sz="4" w:space="0" w:color="4E4E50" w:themeColor="accent2"/>
              <w:right w:val="nil"/>
            </w:tcBorders>
          </w:tcPr>
          <w:p w14:paraId="2211D268" w14:textId="5355A8C5" w:rsidR="002636FD" w:rsidRDefault="002636FD" w:rsidP="00B92788">
            <w:pPr>
              <w:pStyle w:val="TableText"/>
            </w:pPr>
            <w:r>
              <w:t>N/A</w:t>
            </w:r>
          </w:p>
        </w:tc>
        <w:tc>
          <w:tcPr>
            <w:tcW w:w="1998" w:type="dxa"/>
            <w:tcBorders>
              <w:top w:val="single" w:sz="4" w:space="0" w:color="4E4E50" w:themeColor="accent2"/>
              <w:left w:val="nil"/>
              <w:bottom w:val="single" w:sz="4" w:space="0" w:color="4E4E50" w:themeColor="accent2"/>
              <w:right w:val="nil"/>
            </w:tcBorders>
          </w:tcPr>
          <w:p w14:paraId="20C19DC0" w14:textId="12887A63" w:rsidR="002636FD" w:rsidRPr="002636FD" w:rsidRDefault="002636FD" w:rsidP="00B92788">
            <w:pPr>
              <w:pStyle w:val="TableText"/>
              <w:rPr>
                <w:bCs/>
              </w:rPr>
            </w:pPr>
            <w:r>
              <w:rPr>
                <w:bCs/>
              </w:rPr>
              <w:t xml:space="preserve">1 for 1 replacement </w:t>
            </w:r>
          </w:p>
        </w:tc>
        <w:tc>
          <w:tcPr>
            <w:tcW w:w="1998" w:type="dxa"/>
            <w:tcBorders>
              <w:top w:val="single" w:sz="4" w:space="0" w:color="4E4E50" w:themeColor="accent2"/>
              <w:left w:val="nil"/>
              <w:bottom w:val="single" w:sz="4" w:space="0" w:color="4E4E50" w:themeColor="accent2"/>
              <w:right w:val="nil"/>
            </w:tcBorders>
          </w:tcPr>
          <w:p w14:paraId="3ECD8A8B" w14:textId="65CD5067" w:rsidR="002636FD" w:rsidRPr="002636FD" w:rsidRDefault="002636FD" w:rsidP="00B92788">
            <w:pPr>
              <w:pStyle w:val="TableText"/>
              <w:rPr>
                <w:bCs/>
              </w:rPr>
            </w:pPr>
            <w:r>
              <w:rPr>
                <w:bCs/>
              </w:rPr>
              <w:t>91</w:t>
            </w:r>
          </w:p>
        </w:tc>
        <w:tc>
          <w:tcPr>
            <w:tcW w:w="1998" w:type="dxa"/>
            <w:tcBorders>
              <w:top w:val="single" w:sz="4" w:space="0" w:color="4E4E50" w:themeColor="accent2"/>
              <w:left w:val="nil"/>
              <w:bottom w:val="single" w:sz="4" w:space="0" w:color="4E4E50" w:themeColor="accent2"/>
              <w:right w:val="nil"/>
            </w:tcBorders>
          </w:tcPr>
          <w:p w14:paraId="6E48CE62" w14:textId="6945BD57" w:rsidR="002636FD" w:rsidRPr="002636FD" w:rsidRDefault="002636FD" w:rsidP="00B92788">
            <w:pPr>
              <w:pStyle w:val="TableText"/>
              <w:rPr>
                <w:bCs/>
              </w:rPr>
            </w:pPr>
            <w:r>
              <w:rPr>
                <w:bCs/>
              </w:rPr>
              <w:t>91</w:t>
            </w:r>
          </w:p>
        </w:tc>
      </w:tr>
      <w:tr w:rsidR="002636FD" w14:paraId="3F3CC61E" w14:textId="77777777" w:rsidTr="00B92788">
        <w:tc>
          <w:tcPr>
            <w:tcW w:w="5993" w:type="dxa"/>
            <w:gridSpan w:val="3"/>
            <w:tcBorders>
              <w:top w:val="single" w:sz="4" w:space="0" w:color="4E4E50" w:themeColor="accent2"/>
              <w:left w:val="nil"/>
              <w:bottom w:val="single" w:sz="4" w:space="0" w:color="4E4E50" w:themeColor="accent2"/>
              <w:right w:val="nil"/>
            </w:tcBorders>
          </w:tcPr>
          <w:p w14:paraId="61A7CCF7" w14:textId="7C874D30" w:rsidR="002636FD" w:rsidRPr="004D606B" w:rsidRDefault="002636FD" w:rsidP="00B92788">
            <w:pPr>
              <w:pStyle w:val="TableText"/>
              <w:rPr>
                <w:b/>
                <w:bCs/>
              </w:rPr>
            </w:pPr>
            <w:r>
              <w:t>TOTAL</w:t>
            </w:r>
          </w:p>
        </w:tc>
        <w:tc>
          <w:tcPr>
            <w:tcW w:w="1998" w:type="dxa"/>
            <w:tcBorders>
              <w:top w:val="single" w:sz="4" w:space="0" w:color="4E4E50" w:themeColor="accent2"/>
              <w:left w:val="nil"/>
              <w:bottom w:val="single" w:sz="4" w:space="0" w:color="4E4E50" w:themeColor="accent2"/>
              <w:right w:val="nil"/>
            </w:tcBorders>
          </w:tcPr>
          <w:p w14:paraId="7D6F0362" w14:textId="3A5EFD59" w:rsidR="002636FD" w:rsidRPr="004D606B" w:rsidRDefault="002636FD" w:rsidP="00B92788">
            <w:pPr>
              <w:pStyle w:val="TableText"/>
              <w:rPr>
                <w:b/>
                <w:bCs/>
              </w:rPr>
            </w:pPr>
            <w:r>
              <w:rPr>
                <w:b/>
                <w:bCs/>
              </w:rPr>
              <w:t>150</w:t>
            </w:r>
          </w:p>
        </w:tc>
        <w:tc>
          <w:tcPr>
            <w:tcW w:w="1998" w:type="dxa"/>
            <w:tcBorders>
              <w:top w:val="single" w:sz="4" w:space="0" w:color="4E4E50" w:themeColor="accent2"/>
              <w:left w:val="nil"/>
              <w:bottom w:val="single" w:sz="4" w:space="0" w:color="4E4E50" w:themeColor="accent2"/>
              <w:right w:val="nil"/>
            </w:tcBorders>
          </w:tcPr>
          <w:p w14:paraId="26E1B6C5" w14:textId="3FACF13D" w:rsidR="002636FD" w:rsidRPr="004D606B" w:rsidRDefault="002636FD" w:rsidP="00B92788">
            <w:pPr>
              <w:pStyle w:val="TableText"/>
              <w:rPr>
                <w:b/>
                <w:bCs/>
              </w:rPr>
            </w:pPr>
            <w:r>
              <w:rPr>
                <w:b/>
                <w:bCs/>
              </w:rPr>
              <w:t>161</w:t>
            </w:r>
          </w:p>
        </w:tc>
      </w:tr>
    </w:tbl>
    <w:p w14:paraId="1BEB70A1" w14:textId="30760421" w:rsidR="00083436" w:rsidRDefault="002636FD" w:rsidP="00FC22E3">
      <w:pPr>
        <w:pStyle w:val="BodyText"/>
      </w:pPr>
      <w:r>
        <w:lastRenderedPageBreak/>
        <w:t>The proposed basement can accommodate all parking generated by the proposed development, with additional space to absorb some of the loss of surface parking from the Lowe Street Car Park. Of the 91 public parking spaces being replaced, 52 will be located as new surface parking in the redesigned Lowe Street Car Park.</w:t>
      </w:r>
    </w:p>
    <w:p w14:paraId="3A89356A" w14:textId="2EE675E9" w:rsidR="002636FD" w:rsidRPr="00FC22E3" w:rsidRDefault="002636FD" w:rsidP="00FC22E3">
      <w:pPr>
        <w:pStyle w:val="BodyText"/>
      </w:pPr>
      <w:r>
        <w:t xml:space="preserve">The proposed parking arrangement utilises a basement to locate approximately half of the required parking. This is considered an efficient use of space, and enables the proposal to create </w:t>
      </w:r>
      <w:r w:rsidR="00BC5B58">
        <w:t>a</w:t>
      </w:r>
      <w:r>
        <w:t xml:space="preserve"> public plaza which enhances public amenity and </w:t>
      </w:r>
      <w:r w:rsidR="004B79E5">
        <w:t>is considered a positive contribution to the</w:t>
      </w:r>
      <w:r w:rsidR="00173D52">
        <w:t xml:space="preserve"> surrounding environment with the introduction of landscape</w:t>
      </w:r>
      <w:r w:rsidR="00EF477D">
        <w:t>d</w:t>
      </w:r>
      <w:r w:rsidR="00173D52">
        <w:t xml:space="preserve"> areas to replace a portion of surface car parking. </w:t>
      </w:r>
    </w:p>
    <w:p w14:paraId="25994DC1" w14:textId="2DAE9733" w:rsidR="005D57CA" w:rsidRDefault="005D57CA" w:rsidP="00592544">
      <w:pPr>
        <w:pStyle w:val="Heading2"/>
      </w:pPr>
      <w:bookmarkStart w:id="52" w:name="_Toc48230325"/>
      <w:r>
        <w:t>Suitability of the site for Development</w:t>
      </w:r>
      <w:bookmarkEnd w:id="52"/>
      <w:r>
        <w:t xml:space="preserve"> </w:t>
      </w:r>
    </w:p>
    <w:p w14:paraId="6A0F6281" w14:textId="57A737F8" w:rsidR="0097023B" w:rsidRDefault="0097023B" w:rsidP="0097023B">
      <w:pPr>
        <w:pStyle w:val="TableText"/>
        <w:ind w:left="0"/>
      </w:pPr>
      <w:r w:rsidRPr="0097023B">
        <w:t>Pursuant to Section 4.15(1)(c) of the EP&amp;A Act, the Site is considered to be suitable for the</w:t>
      </w:r>
      <w:r>
        <w:t xml:space="preserve"> </w:t>
      </w:r>
      <w:r w:rsidRPr="0097023B">
        <w:t xml:space="preserve">proposed development as </w:t>
      </w:r>
      <w:r w:rsidR="001F42C1">
        <w:t>the site is being redeveloped to accommodate existing uses.</w:t>
      </w:r>
    </w:p>
    <w:p w14:paraId="451B1BDB" w14:textId="16D1483D" w:rsidR="001E2F18" w:rsidRDefault="001E2F18" w:rsidP="0097023B">
      <w:pPr>
        <w:pStyle w:val="TableText"/>
        <w:ind w:left="0"/>
      </w:pPr>
      <w:r>
        <w:t xml:space="preserve">The Site is zoned </w:t>
      </w:r>
      <w:r w:rsidR="004E3370">
        <w:t>B3 Commercial Core and the proposed development is consistent with the zone objectives as listed in the QLEP</w:t>
      </w:r>
      <w:r w:rsidR="00975060">
        <w:t xml:space="preserve"> 2012</w:t>
      </w:r>
      <w:r w:rsidR="004E3370">
        <w:t xml:space="preserve">. </w:t>
      </w:r>
    </w:p>
    <w:p w14:paraId="19684B49" w14:textId="6672F45F" w:rsidR="001E2F18" w:rsidRDefault="001E2F18" w:rsidP="0097023B">
      <w:pPr>
        <w:pStyle w:val="TableText"/>
        <w:ind w:left="0"/>
      </w:pPr>
      <w:r>
        <w:t xml:space="preserve">The Site is centrally located within the Queanbeyan CBD, and located </w:t>
      </w:r>
      <w:r w:rsidR="00EF477D">
        <w:t xml:space="preserve">immediately </w:t>
      </w:r>
      <w:r w:rsidR="00F5754C">
        <w:t>adjoining</w:t>
      </w:r>
      <w:r>
        <w:t xml:space="preserve"> the existing Council </w:t>
      </w:r>
      <w:r w:rsidR="00EF477D">
        <w:t>C</w:t>
      </w:r>
      <w:r>
        <w:t xml:space="preserve">hambers. </w:t>
      </w:r>
      <w:r w:rsidR="006C7F6C">
        <w:t>It is accessible for pedestrians, cyclists and vehicles from the Crawford Street frontage and the Low</w:t>
      </w:r>
      <w:r w:rsidR="00EF477D">
        <w:t>e</w:t>
      </w:r>
      <w:r w:rsidR="006C7F6C">
        <w:t xml:space="preserve"> Street Car Park at the rear. The Site is surrounded</w:t>
      </w:r>
      <w:r>
        <w:t xml:space="preserve"> by complementary public buildings, such as the Bicentennial Hall and Queanbeyan Performing Arts Centre, both of which will be integrated in the proposed development with physical connections and public realm improvements. </w:t>
      </w:r>
    </w:p>
    <w:p w14:paraId="0E7120F5" w14:textId="0EB1E69E" w:rsidR="0012582F" w:rsidRDefault="0012582F" w:rsidP="0012582F">
      <w:pPr>
        <w:pStyle w:val="Heading1"/>
        <w:rPr>
          <w:rFonts w:eastAsiaTheme="minorHAnsi"/>
        </w:rPr>
      </w:pPr>
      <w:bookmarkStart w:id="53" w:name="_Toc48230326"/>
      <w:r>
        <w:rPr>
          <w:rFonts w:eastAsiaTheme="minorHAnsi"/>
        </w:rPr>
        <w:lastRenderedPageBreak/>
        <w:t>Conclusion</w:t>
      </w:r>
      <w:bookmarkEnd w:id="53"/>
    </w:p>
    <w:p w14:paraId="6F519ADC" w14:textId="29378AB3" w:rsidR="00E30A2F" w:rsidRPr="006B2299" w:rsidRDefault="00612DAF" w:rsidP="0012582F">
      <w:pPr>
        <w:pStyle w:val="BodyText"/>
        <w:rPr>
          <w:rFonts w:eastAsiaTheme="minorHAnsi"/>
        </w:rPr>
      </w:pPr>
      <w:r>
        <w:rPr>
          <w:rFonts w:eastAsiaTheme="minorHAnsi"/>
        </w:rPr>
        <w:t xml:space="preserve">Approval is being sought for a </w:t>
      </w:r>
      <w:r>
        <w:t>civic and cultural precinct in Queanbeyan.</w:t>
      </w:r>
      <w:r w:rsidR="00E30A2F" w:rsidRPr="006B2299">
        <w:rPr>
          <w:rFonts w:eastAsiaTheme="minorHAnsi"/>
        </w:rPr>
        <w:t xml:space="preserve">  The proposed development has </w:t>
      </w:r>
      <w:r>
        <w:rPr>
          <w:rFonts w:eastAsiaTheme="minorHAnsi"/>
        </w:rPr>
        <w:t xml:space="preserve">been characterised as a public administration building and has </w:t>
      </w:r>
      <w:r w:rsidR="00E30A2F" w:rsidRPr="006B2299">
        <w:rPr>
          <w:rFonts w:eastAsiaTheme="minorHAnsi"/>
        </w:rPr>
        <w:t xml:space="preserve">a </w:t>
      </w:r>
      <w:r w:rsidR="00A57A6D" w:rsidRPr="006B2299">
        <w:rPr>
          <w:rFonts w:eastAsiaTheme="minorHAnsi"/>
        </w:rPr>
        <w:t>capital investment value</w:t>
      </w:r>
      <w:r w:rsidR="00E30A2F" w:rsidRPr="006B2299">
        <w:rPr>
          <w:rFonts w:eastAsiaTheme="minorHAnsi"/>
        </w:rPr>
        <w:t xml:space="preserve"> of $</w:t>
      </w:r>
      <w:r w:rsidR="00A57A6D" w:rsidRPr="006B2299">
        <w:rPr>
          <w:rFonts w:eastAsiaTheme="minorHAnsi"/>
        </w:rPr>
        <w:t>75.7</w:t>
      </w:r>
      <w:r w:rsidR="00E30A2F" w:rsidRPr="006B2299">
        <w:rPr>
          <w:rFonts w:eastAsiaTheme="minorHAnsi"/>
        </w:rPr>
        <w:t xml:space="preserve"> million</w:t>
      </w:r>
      <w:r>
        <w:rPr>
          <w:rFonts w:eastAsiaTheme="minorHAnsi"/>
        </w:rPr>
        <w:t xml:space="preserve">. It will be </w:t>
      </w:r>
      <w:r w:rsidR="00E30A2F" w:rsidRPr="006B2299">
        <w:rPr>
          <w:rFonts w:eastAsiaTheme="minorHAnsi"/>
        </w:rPr>
        <w:t xml:space="preserve">developed by Council, therefore it is deemed to be regionally significant development pursuant to 7(3) of </w:t>
      </w:r>
      <w:r w:rsidR="00975060">
        <w:rPr>
          <w:rFonts w:eastAsiaTheme="minorHAnsi"/>
        </w:rPr>
        <w:t>SRD</w:t>
      </w:r>
      <w:r w:rsidR="00B35797" w:rsidRPr="006B2299">
        <w:rPr>
          <w:rFonts w:eastAsiaTheme="minorHAnsi"/>
        </w:rPr>
        <w:t xml:space="preserve"> SEPP.  </w:t>
      </w:r>
      <w:r w:rsidR="00420A9C">
        <w:rPr>
          <w:rFonts w:eastAsiaTheme="minorHAnsi"/>
        </w:rPr>
        <w:t>The</w:t>
      </w:r>
      <w:r w:rsidR="00B35797" w:rsidRPr="006B2299">
        <w:rPr>
          <w:rFonts w:eastAsiaTheme="minorHAnsi"/>
        </w:rPr>
        <w:t xml:space="preserve"> </w:t>
      </w:r>
      <w:r w:rsidR="00CB1B04">
        <w:rPr>
          <w:rFonts w:eastAsiaTheme="minorHAnsi"/>
        </w:rPr>
        <w:t xml:space="preserve">Southern </w:t>
      </w:r>
      <w:r>
        <w:rPr>
          <w:rFonts w:eastAsiaTheme="minorHAnsi"/>
        </w:rPr>
        <w:t>Regional Planning Panel</w:t>
      </w:r>
      <w:r w:rsidR="00B35797" w:rsidRPr="006B2299">
        <w:rPr>
          <w:rFonts w:eastAsiaTheme="minorHAnsi"/>
        </w:rPr>
        <w:t xml:space="preserve"> is the determining authority</w:t>
      </w:r>
      <w:r w:rsidR="00420A9C">
        <w:rPr>
          <w:rFonts w:eastAsiaTheme="minorHAnsi"/>
        </w:rPr>
        <w:t>.</w:t>
      </w:r>
      <w:r w:rsidR="00B35797" w:rsidRPr="006B2299">
        <w:rPr>
          <w:rFonts w:eastAsiaTheme="minorHAnsi"/>
        </w:rPr>
        <w:t xml:space="preserve"> </w:t>
      </w:r>
    </w:p>
    <w:p w14:paraId="6250883D" w14:textId="742FCBD9" w:rsidR="007D6C47" w:rsidRPr="006303C1" w:rsidRDefault="007D6C47" w:rsidP="007D6C47">
      <w:pPr>
        <w:pStyle w:val="BodyText"/>
        <w:rPr>
          <w:rFonts w:eastAsiaTheme="minorHAnsi"/>
        </w:rPr>
      </w:pPr>
      <w:r w:rsidRPr="006303C1">
        <w:rPr>
          <w:rFonts w:eastAsiaTheme="minorHAnsi"/>
        </w:rPr>
        <w:t xml:space="preserve">This assessment has </w:t>
      </w:r>
      <w:r w:rsidR="00DA700F">
        <w:rPr>
          <w:rFonts w:eastAsiaTheme="minorHAnsi"/>
        </w:rPr>
        <w:t>b</w:t>
      </w:r>
      <w:r w:rsidR="00420A9C">
        <w:rPr>
          <w:rFonts w:eastAsiaTheme="minorHAnsi"/>
        </w:rPr>
        <w:t>een undertaken under section 4.1</w:t>
      </w:r>
      <w:r w:rsidR="00DA700F">
        <w:rPr>
          <w:rFonts w:eastAsiaTheme="minorHAnsi"/>
        </w:rPr>
        <w:t xml:space="preserve">5 of the EP&amp;A Act and </w:t>
      </w:r>
      <w:r w:rsidRPr="006303C1">
        <w:rPr>
          <w:rFonts w:eastAsiaTheme="minorHAnsi"/>
        </w:rPr>
        <w:t>taken into consideration the submitted plans, Statement of Environmental Effects,</w:t>
      </w:r>
      <w:r w:rsidR="006303C1" w:rsidRPr="006303C1">
        <w:rPr>
          <w:rFonts w:eastAsiaTheme="minorHAnsi"/>
        </w:rPr>
        <w:t xml:space="preserve"> </w:t>
      </w:r>
      <w:r w:rsidR="00612DAF">
        <w:rPr>
          <w:rFonts w:eastAsiaTheme="minorHAnsi"/>
        </w:rPr>
        <w:t xml:space="preserve">additional information </w:t>
      </w:r>
      <w:r w:rsidR="006303C1" w:rsidRPr="006303C1">
        <w:rPr>
          <w:rFonts w:eastAsiaTheme="minorHAnsi"/>
        </w:rPr>
        <w:t>and</w:t>
      </w:r>
      <w:r w:rsidRPr="006303C1">
        <w:rPr>
          <w:rFonts w:eastAsiaTheme="minorHAnsi"/>
        </w:rPr>
        <w:t xml:space="preserve"> all other documentat</w:t>
      </w:r>
      <w:r w:rsidR="00612DAF">
        <w:rPr>
          <w:rFonts w:eastAsiaTheme="minorHAnsi"/>
        </w:rPr>
        <w:t>ion supporting the application. The assessment concludes that the development will not</w:t>
      </w:r>
      <w:r w:rsidRPr="006303C1">
        <w:rPr>
          <w:rFonts w:eastAsiaTheme="minorHAnsi"/>
        </w:rPr>
        <w:t xml:space="preserve"> result in any unreasonable impacts on surrounding, adjoining, adjacent and nearby properties subject to the conditions contained within the recommendation.</w:t>
      </w:r>
    </w:p>
    <w:p w14:paraId="625E84BB" w14:textId="117643D2" w:rsidR="007D6C47" w:rsidRPr="006303C1" w:rsidRDefault="00DA700F" w:rsidP="007D6C47">
      <w:pPr>
        <w:pStyle w:val="BodyText"/>
        <w:rPr>
          <w:rFonts w:eastAsiaTheme="minorHAnsi"/>
        </w:rPr>
      </w:pPr>
      <w:r>
        <w:rPr>
          <w:rFonts w:eastAsiaTheme="minorHAnsi"/>
        </w:rPr>
        <w:t>The</w:t>
      </w:r>
      <w:r w:rsidR="007D6C47" w:rsidRPr="006303C1">
        <w:rPr>
          <w:rFonts w:eastAsiaTheme="minorHAnsi"/>
        </w:rPr>
        <w:t xml:space="preserve"> proposal is considered to be</w:t>
      </w:r>
      <w:r>
        <w:rPr>
          <w:rFonts w:eastAsiaTheme="minorHAnsi"/>
        </w:rPr>
        <w:t xml:space="preserve"> consistent with the</w:t>
      </w:r>
      <w:r w:rsidR="007D6C47" w:rsidRPr="006303C1">
        <w:rPr>
          <w:rFonts w:eastAsiaTheme="minorHAnsi"/>
        </w:rPr>
        <w:t>:</w:t>
      </w:r>
    </w:p>
    <w:p w14:paraId="2A08313F" w14:textId="1092FEAB" w:rsidR="00DA700F" w:rsidRPr="006303C1" w:rsidRDefault="00DA700F" w:rsidP="00DA700F">
      <w:pPr>
        <w:pStyle w:val="ListBullet0"/>
        <w:rPr>
          <w:rFonts w:eastAsiaTheme="minorHAnsi"/>
        </w:rPr>
      </w:pPr>
      <w:r w:rsidRPr="006303C1">
        <w:rPr>
          <w:rFonts w:eastAsiaTheme="minorHAnsi"/>
        </w:rPr>
        <w:t>objects of the EP&amp;A Act 1979</w:t>
      </w:r>
    </w:p>
    <w:p w14:paraId="672BC1FC" w14:textId="1CEEFA5A" w:rsidR="00DA700F" w:rsidRPr="006303C1" w:rsidRDefault="00DA700F" w:rsidP="00DA700F">
      <w:pPr>
        <w:pStyle w:val="ListBullet0"/>
        <w:rPr>
          <w:rFonts w:eastAsiaTheme="minorHAnsi"/>
        </w:rPr>
      </w:pPr>
      <w:r w:rsidRPr="006303C1">
        <w:rPr>
          <w:rFonts w:eastAsiaTheme="minorHAnsi"/>
        </w:rPr>
        <w:t>objectives of the relevant EPIs</w:t>
      </w:r>
    </w:p>
    <w:p w14:paraId="519A0244" w14:textId="5C656BA6" w:rsidR="00DA700F" w:rsidRPr="006303C1" w:rsidRDefault="00DA700F" w:rsidP="00DA700F">
      <w:pPr>
        <w:pStyle w:val="ListBullet0"/>
        <w:rPr>
          <w:rFonts w:eastAsiaTheme="minorHAnsi"/>
        </w:rPr>
      </w:pPr>
      <w:r w:rsidRPr="006303C1">
        <w:rPr>
          <w:rFonts w:eastAsiaTheme="minorHAnsi"/>
        </w:rPr>
        <w:t>aims of the LEP</w:t>
      </w:r>
      <w:r>
        <w:rPr>
          <w:rFonts w:eastAsiaTheme="minorHAnsi"/>
        </w:rPr>
        <w:t xml:space="preserve"> and objectives of the B3 zone</w:t>
      </w:r>
    </w:p>
    <w:p w14:paraId="223E4676" w14:textId="08939F89" w:rsidR="00DA700F" w:rsidRPr="006303C1" w:rsidRDefault="00DA700F" w:rsidP="00DA700F">
      <w:pPr>
        <w:pStyle w:val="ListBullet0"/>
        <w:rPr>
          <w:rFonts w:eastAsiaTheme="minorHAnsi"/>
        </w:rPr>
      </w:pPr>
      <w:r w:rsidRPr="006303C1">
        <w:rPr>
          <w:rFonts w:eastAsiaTheme="minorHAnsi"/>
        </w:rPr>
        <w:t>objectives of the DCP</w:t>
      </w:r>
    </w:p>
    <w:p w14:paraId="48A70EF4" w14:textId="1CEF2CBB" w:rsidR="007D6C47" w:rsidRDefault="007D6C47" w:rsidP="007D6C47">
      <w:pPr>
        <w:pStyle w:val="BodyText"/>
        <w:rPr>
          <w:rFonts w:eastAsiaTheme="minorHAnsi"/>
        </w:rPr>
      </w:pPr>
      <w:r w:rsidRPr="006303C1">
        <w:rPr>
          <w:rFonts w:eastAsiaTheme="minorHAnsi"/>
        </w:rPr>
        <w:t xml:space="preserve">The proposed development </w:t>
      </w:r>
      <w:r w:rsidR="00DA700F">
        <w:rPr>
          <w:rFonts w:eastAsiaTheme="minorHAnsi"/>
        </w:rPr>
        <w:t xml:space="preserve">represents </w:t>
      </w:r>
      <w:r w:rsidRPr="006303C1">
        <w:rPr>
          <w:rFonts w:eastAsiaTheme="minorHAnsi"/>
        </w:rPr>
        <w:t xml:space="preserve">an appropriate design response in consideration of the site constraints and local </w:t>
      </w:r>
      <w:r w:rsidR="006303C1" w:rsidRPr="006303C1">
        <w:rPr>
          <w:rFonts w:eastAsiaTheme="minorHAnsi"/>
        </w:rPr>
        <w:t xml:space="preserve">heritage </w:t>
      </w:r>
      <w:r w:rsidRPr="006303C1">
        <w:rPr>
          <w:rFonts w:eastAsiaTheme="minorHAnsi"/>
        </w:rPr>
        <w:t>context. It is considered that the proposed development satisfies the appropriate controls and that all processes and assessments have been satisfactorily addressed.</w:t>
      </w:r>
    </w:p>
    <w:p w14:paraId="6C205C70" w14:textId="4A35DEE5" w:rsidR="007D6C47" w:rsidRDefault="007D6C47" w:rsidP="004B1568">
      <w:pPr>
        <w:pStyle w:val="Heading2"/>
        <w:rPr>
          <w:rFonts w:eastAsiaTheme="minorHAnsi"/>
        </w:rPr>
      </w:pPr>
      <w:bookmarkStart w:id="54" w:name="_Toc48230327"/>
      <w:r>
        <w:rPr>
          <w:rFonts w:eastAsiaTheme="minorHAnsi"/>
        </w:rPr>
        <w:t>Recommendation</w:t>
      </w:r>
      <w:bookmarkEnd w:id="54"/>
      <w:r>
        <w:rPr>
          <w:rFonts w:eastAsiaTheme="minorHAnsi"/>
        </w:rPr>
        <w:t xml:space="preserve"> </w:t>
      </w:r>
    </w:p>
    <w:p w14:paraId="0793BB66" w14:textId="638F8395" w:rsidR="006303C1" w:rsidRDefault="006303C1" w:rsidP="00DD37DE">
      <w:pPr>
        <w:pStyle w:val="BodyText"/>
      </w:pPr>
      <w:r>
        <w:t>The proposal is recommended fo</w:t>
      </w:r>
      <w:r w:rsidR="00DD37DE">
        <w:t xml:space="preserve">r </w:t>
      </w:r>
      <w:r w:rsidR="00E17D5B">
        <w:t>approval</w:t>
      </w:r>
      <w:r>
        <w:t xml:space="preserve"> subject to the </w:t>
      </w:r>
      <w:r w:rsidR="00DD37DE">
        <w:t>Draft</w:t>
      </w:r>
      <w:r>
        <w:t xml:space="preserve"> Conditions of Consent at </w:t>
      </w:r>
      <w:r w:rsidRPr="006303C1">
        <w:rPr>
          <w:b/>
          <w:bCs/>
        </w:rPr>
        <w:t xml:space="preserve">Appendix </w:t>
      </w:r>
      <w:r w:rsidR="007C5879">
        <w:rPr>
          <w:b/>
          <w:bCs/>
        </w:rPr>
        <w:t>B</w:t>
      </w:r>
      <w:r>
        <w:t>.</w:t>
      </w:r>
    </w:p>
    <w:p w14:paraId="4321BE3D" w14:textId="2EEAFA5E" w:rsidR="0037701B" w:rsidRDefault="0037701B">
      <w:pPr>
        <w:spacing w:before="80" w:after="80"/>
        <w:rPr>
          <w:rFonts w:eastAsia="Times New Roman"/>
          <w:color w:val="4E4E50" w:themeColor="text2"/>
          <w:szCs w:val="24"/>
        </w:rPr>
      </w:pPr>
      <w:r>
        <w:br w:type="page"/>
      </w:r>
    </w:p>
    <w:p w14:paraId="008C032E" w14:textId="77777777" w:rsidR="0037701B" w:rsidRDefault="0037701B" w:rsidP="009D1556">
      <w:pPr>
        <w:pStyle w:val="BodyText"/>
        <w:spacing w:after="1080"/>
      </w:pPr>
      <w:r>
        <w:rPr>
          <w:noProof/>
        </w:rPr>
        <w:lastRenderedPageBreak/>
        <mc:AlternateContent>
          <mc:Choice Requires="wps">
            <w:drawing>
              <wp:anchor distT="0" distB="0" distL="114300" distR="114300" simplePos="0" relativeHeight="251663360" behindDoc="1" locked="1" layoutInCell="1" allowOverlap="1" wp14:anchorId="210F8DD4" wp14:editId="6CC0B72F">
                <wp:simplePos x="0" y="0"/>
                <wp:positionH relativeFrom="page">
                  <wp:posOffset>180975</wp:posOffset>
                </wp:positionH>
                <wp:positionV relativeFrom="page">
                  <wp:posOffset>180975</wp:posOffset>
                </wp:positionV>
                <wp:extent cx="7200000" cy="10332000"/>
                <wp:effectExtent l="0" t="0" r="1270" b="0"/>
                <wp:wrapNone/>
                <wp:docPr id="4" name="Rectangle 4"/>
                <wp:cNvGraphicFramePr/>
                <a:graphic xmlns:a="http://schemas.openxmlformats.org/drawingml/2006/main">
                  <a:graphicData uri="http://schemas.microsoft.com/office/word/2010/wordprocessingShape">
                    <wps:wsp>
                      <wps:cNvSpPr/>
                      <wps:spPr>
                        <a:xfrm>
                          <a:off x="0" y="0"/>
                          <a:ext cx="7200000" cy="10332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349711" id="Rectangle 4" o:spid="_x0000_s1026" style="position:absolute;margin-left:14.25pt;margin-top:14.25pt;width:566.95pt;height:813.5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" fillcolor="#41a62a [3204]" stroked="f" strokeweight="1pt">
                <w10:wrap anchorx="page" anchory="page"/>
                <w10:anchorlock/>
              </v:rect>
            </w:pict>
          </mc:Fallback>
        </mc:AlternateContent>
      </w:r>
    </w:p>
    <w:p w14:paraId="1662A719" w14:textId="77777777" w:rsidR="0037701B" w:rsidRDefault="0037701B" w:rsidP="009D1556">
      <w:pPr>
        <w:pStyle w:val="SectionHeading"/>
      </w:pPr>
      <w:r>
        <w:t>Appendices</w:t>
      </w:r>
    </w:p>
    <w:p w14:paraId="6631658D" w14:textId="7CCD3F85" w:rsidR="008F4696" w:rsidRDefault="0037701B">
      <w:pPr>
        <w:pStyle w:val="TOC9"/>
        <w:rPr>
          <w:rFonts w:eastAsiaTheme="minorEastAsia"/>
          <w:noProof/>
          <w:color w:val="auto"/>
          <w:sz w:val="22"/>
          <w:lang w:val="en-US"/>
        </w:rPr>
      </w:pPr>
      <w:r>
        <w:rPr>
          <w:b/>
          <w:bCs/>
          <w:noProof/>
          <w:lang w:val="en-US"/>
        </w:rPr>
        <w:fldChar w:fldCharType="begin"/>
      </w:r>
      <w:r>
        <w:rPr>
          <w:b/>
          <w:bCs/>
          <w:noProof/>
          <w:lang w:val="en-US"/>
        </w:rPr>
        <w:instrText xml:space="preserve"> TOC \n \h \z \t "App Heading 1,9" </w:instrText>
      </w:r>
      <w:r>
        <w:rPr>
          <w:b/>
          <w:bCs/>
          <w:noProof/>
          <w:lang w:val="en-US"/>
        </w:rPr>
        <w:fldChar w:fldCharType="separate"/>
      </w:r>
    </w:p>
    <w:p w14:paraId="1011CF0E" w14:textId="5F510A45" w:rsidR="008F4696" w:rsidRDefault="00CE4039">
      <w:pPr>
        <w:pStyle w:val="TOC9"/>
        <w:rPr>
          <w:rFonts w:eastAsiaTheme="minorEastAsia"/>
          <w:noProof/>
          <w:color w:val="auto"/>
          <w:sz w:val="22"/>
          <w:lang w:val="en-US"/>
        </w:rPr>
      </w:pPr>
      <w:hyperlink w:anchor="_Toc48230332" w:history="1">
        <w:r w:rsidR="008525E7">
          <w:rPr>
            <w:rStyle w:val="Hyperlink"/>
            <w:noProof/>
          </w:rPr>
          <w:t>A</w:t>
        </w:r>
        <w:r w:rsidR="008F4696">
          <w:rPr>
            <w:rFonts w:eastAsiaTheme="minorEastAsia"/>
            <w:noProof/>
            <w:color w:val="auto"/>
            <w:sz w:val="22"/>
            <w:lang w:val="en-US"/>
          </w:rPr>
          <w:tab/>
        </w:r>
        <w:r w:rsidR="008F4696" w:rsidRPr="007B78FF">
          <w:rPr>
            <w:rStyle w:val="Hyperlink"/>
            <w:noProof/>
          </w:rPr>
          <w:t>DCP Compliance Assessment</w:t>
        </w:r>
      </w:hyperlink>
    </w:p>
    <w:p w14:paraId="16411718" w14:textId="6822C684" w:rsidR="008F4696" w:rsidRDefault="00CE4039">
      <w:pPr>
        <w:pStyle w:val="TOC9"/>
        <w:rPr>
          <w:rFonts w:eastAsiaTheme="minorEastAsia"/>
          <w:noProof/>
          <w:color w:val="auto"/>
          <w:sz w:val="22"/>
          <w:lang w:val="en-US"/>
        </w:rPr>
      </w:pPr>
      <w:hyperlink w:anchor="_Toc48230333" w:history="1">
        <w:r w:rsidR="008525E7">
          <w:rPr>
            <w:rStyle w:val="Hyperlink"/>
            <w:noProof/>
          </w:rPr>
          <w:t>B</w:t>
        </w:r>
        <w:r w:rsidR="008F4696">
          <w:rPr>
            <w:rFonts w:eastAsiaTheme="minorEastAsia"/>
            <w:noProof/>
            <w:color w:val="auto"/>
            <w:sz w:val="22"/>
            <w:lang w:val="en-US"/>
          </w:rPr>
          <w:tab/>
        </w:r>
        <w:r w:rsidR="008F4696" w:rsidRPr="007B78FF">
          <w:rPr>
            <w:rStyle w:val="Hyperlink"/>
            <w:noProof/>
          </w:rPr>
          <w:t>Draft Conditions of Consent</w:t>
        </w:r>
      </w:hyperlink>
    </w:p>
    <w:p w14:paraId="61B12413" w14:textId="61E9ECE1" w:rsidR="0037701B" w:rsidRDefault="0037701B" w:rsidP="009D1556">
      <w:pPr>
        <w:pStyle w:val="TOC9"/>
      </w:pPr>
      <w:r>
        <w:rPr>
          <w:b/>
          <w:bCs/>
          <w:noProof/>
          <w:lang w:val="en-US"/>
        </w:rPr>
        <w:fldChar w:fldCharType="end"/>
      </w:r>
    </w:p>
    <w:p w14:paraId="63C1E8DF" w14:textId="77777777" w:rsidR="0037701B" w:rsidRDefault="0037701B" w:rsidP="009D1556">
      <w:pPr>
        <w:pStyle w:val="BodyText"/>
      </w:pPr>
      <w:r>
        <w:br w:type="page"/>
      </w:r>
    </w:p>
    <w:p w14:paraId="2ADEDF1A" w14:textId="77777777" w:rsidR="0037701B" w:rsidRDefault="0037701B" w:rsidP="007D6C47">
      <w:pPr>
        <w:pStyle w:val="BodyText"/>
        <w:rPr>
          <w:rFonts w:eastAsiaTheme="minorHAnsi"/>
        </w:rPr>
        <w:sectPr w:rsidR="0037701B" w:rsidSect="00B113CE">
          <w:headerReference w:type="default" r:id="rId30"/>
          <w:footerReference w:type="default" r:id="rId31"/>
          <w:pgSz w:w="11906" w:h="16838" w:code="9"/>
          <w:pgMar w:top="1418" w:right="907" w:bottom="1134" w:left="907" w:header="454" w:footer="454" w:gutter="0"/>
          <w:cols w:space="708"/>
          <w:docGrid w:linePitch="360"/>
        </w:sectPr>
      </w:pPr>
    </w:p>
    <w:p w14:paraId="0584160A" w14:textId="043D1E18" w:rsidR="0037701B" w:rsidRDefault="0037701B" w:rsidP="0037701B">
      <w:pPr>
        <w:pStyle w:val="AppHeading1"/>
      </w:pPr>
      <w:bookmarkStart w:id="55" w:name="_Toc48230329"/>
      <w:bookmarkStart w:id="56" w:name="_Toc48230332"/>
      <w:r>
        <w:lastRenderedPageBreak/>
        <w:t>DCP Compliance Assessment</w:t>
      </w:r>
      <w:bookmarkEnd w:id="55"/>
      <w:bookmarkEnd w:id="56"/>
    </w:p>
    <w:p w14:paraId="6EB47655" w14:textId="13A16392" w:rsidR="0037701B" w:rsidRPr="00CE4039" w:rsidRDefault="00CE4039" w:rsidP="0037701B">
      <w:pPr>
        <w:rPr>
          <w:rFonts w:ascii="Arial" w:hAnsi="Arial" w:cs="Arial"/>
          <w:sz w:val="22"/>
        </w:rPr>
      </w:pPr>
      <w:r w:rsidRPr="00CE4039">
        <w:rPr>
          <w:rFonts w:ascii="Arial" w:hAnsi="Arial" w:cs="Arial"/>
          <w:sz w:val="22"/>
        </w:rPr>
        <w:t>Provided under separate cover.</w:t>
      </w:r>
    </w:p>
    <w:p w14:paraId="7599CE22" w14:textId="40E4FFDD" w:rsidR="0037701B" w:rsidRPr="0037701B" w:rsidRDefault="00B5016A" w:rsidP="009D1556">
      <w:pPr>
        <w:pStyle w:val="AppHeading1"/>
        <w:rPr>
          <w:b w:val="0"/>
          <w:bCs w:val="0"/>
        </w:rPr>
      </w:pPr>
      <w:bookmarkStart w:id="57" w:name="_Toc48230330"/>
      <w:bookmarkStart w:id="58" w:name="_Toc48230333"/>
      <w:r>
        <w:lastRenderedPageBreak/>
        <w:t>Draft</w:t>
      </w:r>
      <w:r w:rsidR="0037701B">
        <w:t xml:space="preserve"> Conditions of Consent</w:t>
      </w:r>
      <w:bookmarkEnd w:id="57"/>
      <w:bookmarkEnd w:id="58"/>
      <w:r w:rsidR="0037701B">
        <w:t xml:space="preserve"> </w:t>
      </w:r>
    </w:p>
    <w:p w14:paraId="2AA96934" w14:textId="77777777" w:rsidR="00CE4039" w:rsidRPr="00CE4039" w:rsidRDefault="00CE4039" w:rsidP="00CE4039">
      <w:pPr>
        <w:pStyle w:val="BodyText"/>
        <w:rPr>
          <w:rFonts w:ascii="Arial" w:hAnsi="Arial" w:cs="Arial"/>
          <w:sz w:val="22"/>
          <w:szCs w:val="22"/>
        </w:rPr>
      </w:pPr>
      <w:r w:rsidRPr="00CE4039">
        <w:rPr>
          <w:rFonts w:ascii="Arial" w:hAnsi="Arial" w:cs="Arial"/>
          <w:sz w:val="22"/>
          <w:szCs w:val="22"/>
        </w:rPr>
        <w:t>Provided under separate cover.</w:t>
      </w:r>
    </w:p>
    <w:p w14:paraId="3F3DA34B" w14:textId="3AAE48B1" w:rsidR="0037701B" w:rsidRDefault="0037701B" w:rsidP="00B532D3">
      <w:pPr>
        <w:pStyle w:val="BodyText"/>
      </w:pPr>
    </w:p>
    <w:p w14:paraId="43C2A91B" w14:textId="77777777" w:rsidR="00CE4039" w:rsidRPr="009D1556" w:rsidRDefault="00CE4039" w:rsidP="00B532D3">
      <w:pPr>
        <w:pStyle w:val="BodyText"/>
      </w:pPr>
      <w:bookmarkStart w:id="59" w:name="_GoBack"/>
      <w:bookmarkEnd w:id="59"/>
    </w:p>
    <w:p w14:paraId="2ADE5F35" w14:textId="1CB9D349" w:rsidR="00C5030E" w:rsidRDefault="00C5030E" w:rsidP="005F5676">
      <w:pPr>
        <w:pStyle w:val="Heading1"/>
        <w:numPr>
          <w:ilvl w:val="0"/>
          <w:numId w:val="0"/>
        </w:numPr>
      </w:pPr>
    </w:p>
    <w:sdt>
      <w:sdtPr>
        <w:alias w:val="Back Cover"/>
        <w:tag w:val="Back Cover"/>
        <w:id w:val="1760718858"/>
        <w:placeholder>
          <w:docPart w:val="E84B975EBB74423AA83AAE6C233A979E"/>
        </w:placeholder>
        <w:docPartList>
          <w:docPartGallery w:val="AutoText"/>
          <w:docPartCategory w:val="Back Covers"/>
        </w:docPartList>
      </w:sdtPr>
      <w:sdtEndPr/>
      <w:sdtContent>
        <w:p w14:paraId="7B10CE26" w14:textId="77777777" w:rsidR="005F5676" w:rsidRDefault="005F5676" w:rsidP="00EB0C4D">
          <w:pPr>
            <w:pStyle w:val="BodyText"/>
          </w:pPr>
          <w:r>
            <w:rPr>
              <w:noProof/>
            </w:rPr>
            <mc:AlternateContent>
              <mc:Choice Requires="wps">
                <w:drawing>
                  <wp:anchor distT="0" distB="0" distL="114300" distR="114300" simplePos="0" relativeHeight="251679744" behindDoc="0" locked="1" layoutInCell="1" allowOverlap="1" wp14:anchorId="71AE04EB" wp14:editId="3BFFA701">
                    <wp:simplePos x="0" y="0"/>
                    <wp:positionH relativeFrom="page">
                      <wp:posOffset>5854065</wp:posOffset>
                    </wp:positionH>
                    <wp:positionV relativeFrom="page">
                      <wp:posOffset>9660255</wp:posOffset>
                    </wp:positionV>
                    <wp:extent cx="1256400" cy="306000"/>
                    <wp:effectExtent l="0" t="0" r="1270" b="0"/>
                    <wp:wrapNone/>
                    <wp:docPr id="27" name="Text Box 27"/>
                    <wp:cNvGraphicFramePr/>
                    <a:graphic xmlns:a="http://schemas.openxmlformats.org/drawingml/2006/main">
                      <a:graphicData uri="http://schemas.microsoft.com/office/word/2010/wordprocessingShape">
                        <wps:wsp>
                          <wps:cNvSpPr txBox="1"/>
                          <wps:spPr>
                            <a:xfrm>
                              <a:off x="0" y="0"/>
                              <a:ext cx="1256400" cy="306000"/>
                            </a:xfrm>
                            <a:prstGeom prst="rect">
                              <a:avLst/>
                            </a:prstGeom>
                            <a:noFill/>
                            <a:ln w="6350">
                              <a:noFill/>
                            </a:ln>
                          </wps:spPr>
                          <wps:txbx>
                            <w:txbxContent>
                              <w:p w14:paraId="486C093A" w14:textId="5620354B" w:rsidR="00430C15" w:rsidRPr="00461ECB" w:rsidRDefault="00CE4039" w:rsidP="00EB0C4D">
                                <w:pPr>
                                  <w:rPr>
                                    <w:color w:val="FFFFFF" w:themeColor="background1"/>
                                  </w:rPr>
                                </w:pPr>
                                <w:hyperlink r:id="rId32" w:history="1">
                                  <w:r w:rsidR="00430C15" w:rsidRPr="00461ECB">
                                    <w:rPr>
                                      <w:color w:val="FFFFFF" w:themeColor="background1"/>
                                    </w:rPr>
                                    <w:t>www.</w:t>
                                  </w:r>
                                  <w:r w:rsidR="00430C15" w:rsidRPr="00461ECB">
                                    <w:rPr>
                                      <w:b/>
                                      <w:color w:val="FFFFFF" w:themeColor="background1"/>
                                    </w:rPr>
                                    <w:t>elton</w:t>
                                  </w:r>
                                  <w:r w:rsidR="00430C15" w:rsidRPr="00461ECB">
                                    <w:rPr>
                                      <w:color w:val="FFFFFF" w:themeColor="background1"/>
                                    </w:rPr>
                                    <w:t>.com.au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AE04EB" id="_x0000_t202" coordsize="21600,21600" o:spt="202" path="m,l,21600r21600,l21600,xe">
                    <v:stroke joinstyle="miter"/>
                    <v:path gradientshapeok="t" o:connecttype="rect"/>
                  </v:shapetype>
                  <v:shape id="Text Box 27" o:spid="_x0000_s1026" type="#_x0000_t202" style="position:absolute;margin-left:460.95pt;margin-top:760.65pt;width:98.95pt;height:24.1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" filled="f" stroked="f" strokeweight=".5pt">
                    <v:textbox inset="0,0,0,0">
                      <w:txbxContent>
                        <w:p w14:paraId="486C093A" w14:textId="5620354B" w:rsidR="00430C15" w:rsidRPr="00461ECB" w:rsidRDefault="00430C15" w:rsidP="00EB0C4D">
                          <w:pPr>
                            <w:rPr>
                              <w:color w:val="FFFFFF" w:themeColor="background1"/>
                            </w:rPr>
                          </w:pPr>
                          <w:hyperlink r:id="rId33" w:history="1">
                            <w:r w:rsidRPr="00461ECB">
                              <w:rPr>
                                <w:color w:val="FFFFFF" w:themeColor="background1"/>
                              </w:rPr>
                              <w:t>www.</w:t>
                            </w:r>
                            <w:r w:rsidRPr="00461ECB">
                              <w:rPr>
                                <w:b/>
                                <w:color w:val="FFFFFF" w:themeColor="background1"/>
                              </w:rPr>
                              <w:t>elton</w:t>
                            </w:r>
                            <w:r w:rsidRPr="00461ECB">
                              <w:rPr>
                                <w:color w:val="FFFFFF" w:themeColor="background1"/>
                              </w:rPr>
                              <w:t>.com.au</w:t>
                            </w:r>
                          </w:hyperlink>
                        </w:p>
                      </w:txbxContent>
                    </v:textbox>
                    <w10:wrap anchorx="page" anchory="page"/>
                    <w10:anchorlock/>
                  </v:shape>
                </w:pict>
              </mc:Fallback>
            </mc:AlternateContent>
          </w:r>
          <w:r>
            <w:rPr>
              <w:noProof/>
            </w:rPr>
            <mc:AlternateContent>
              <mc:Choice Requires="wps">
                <w:drawing>
                  <wp:anchor distT="0" distB="0" distL="114300" distR="114300" simplePos="0" relativeHeight="251677696" behindDoc="1" locked="1" layoutInCell="1" allowOverlap="1" wp14:anchorId="59B6A01D" wp14:editId="4E294EB4">
                    <wp:simplePos x="0" y="0"/>
                    <wp:positionH relativeFrom="page">
                      <wp:posOffset>180340</wp:posOffset>
                    </wp:positionH>
                    <wp:positionV relativeFrom="page">
                      <wp:posOffset>180340</wp:posOffset>
                    </wp:positionV>
                    <wp:extent cx="7200000" cy="10332000"/>
                    <wp:effectExtent l="0" t="0" r="1270" b="0"/>
                    <wp:wrapNone/>
                    <wp:docPr id="28" name="Rectangle 28"/>
                    <wp:cNvGraphicFramePr/>
                    <a:graphic xmlns:a="http://schemas.openxmlformats.org/drawingml/2006/main">
                      <a:graphicData uri="http://schemas.microsoft.com/office/word/2010/wordprocessingShape">
                        <wps:wsp>
                          <wps:cNvSpPr/>
                          <wps:spPr>
                            <a:xfrm>
                              <a:off x="0" y="0"/>
                              <a:ext cx="7200000" cy="10332000"/>
                            </a:xfrm>
                            <a:prstGeom prst="rect">
                              <a:avLst/>
                            </a:prstGeom>
                            <a:solidFill>
                              <a:srgbClr val="41A6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B2F381" id="Rectangle 28" o:spid="_x0000_s1026" style="position:absolute;margin-left:14.2pt;margin-top:14.2pt;width:566.95pt;height:813.5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" fillcolor="#41a62a" stroked="f" strokeweight="1pt">
                    <w10:wrap anchorx="page" anchory="page"/>
                    <w10:anchorlock/>
                  </v:rect>
                </w:pict>
              </mc:Fallback>
            </mc:AlternateContent>
          </w:r>
          <w:r>
            <w:rPr>
              <w:noProof/>
            </w:rPr>
            <w:drawing>
              <wp:anchor distT="0" distB="0" distL="114300" distR="114300" simplePos="0" relativeHeight="251678720" behindDoc="0" locked="1" layoutInCell="1" allowOverlap="1" wp14:anchorId="21BD24E3" wp14:editId="703CD59B">
                <wp:simplePos x="0" y="0"/>
                <wp:positionH relativeFrom="page">
                  <wp:posOffset>6097905</wp:posOffset>
                </wp:positionH>
                <wp:positionV relativeFrom="page">
                  <wp:posOffset>9159240</wp:posOffset>
                </wp:positionV>
                <wp:extent cx="831215" cy="417195"/>
                <wp:effectExtent l="0" t="0" r="6985" b="190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White Logo-01.png"/>
                        <pic:cNvPicPr/>
                      </pic:nvPicPr>
                      <pic:blipFill>
                        <a:blip r:embed="rId9"/>
                        <a:stretch>
                          <a:fillRect/>
                        </a:stretch>
                      </pic:blipFill>
                      <pic:spPr>
                        <a:xfrm>
                          <a:off x="0" y="0"/>
                          <a:ext cx="831215" cy="417195"/>
                        </a:xfrm>
                        <a:prstGeom prst="rect">
                          <a:avLst/>
                        </a:prstGeom>
                      </pic:spPr>
                    </pic:pic>
                  </a:graphicData>
                </a:graphic>
                <wp14:sizeRelH relativeFrom="page">
                  <wp14:pctWidth>0</wp14:pctWidth>
                </wp14:sizeRelH>
                <wp14:sizeRelV relativeFrom="page">
                  <wp14:pctHeight>0</wp14:pctHeight>
                </wp14:sizeRelV>
              </wp:anchor>
            </w:drawing>
          </w:r>
        </w:p>
        <w:p w14:paraId="2FF7433B" w14:textId="4EC188E8" w:rsidR="00C5030E" w:rsidRDefault="00CE4039" w:rsidP="00C5030E">
          <w:pPr>
            <w:pStyle w:val="BodyText"/>
          </w:pPr>
        </w:p>
      </w:sdtContent>
    </w:sdt>
    <w:p w14:paraId="3BDAF325" w14:textId="77777777" w:rsidR="00C5030E" w:rsidRPr="005D1C52" w:rsidRDefault="00C5030E" w:rsidP="00C5030E"/>
    <w:sectPr w:rsidR="00C5030E" w:rsidRPr="005D1C52" w:rsidSect="00B113CE">
      <w:footerReference w:type="default" r:id="rId34"/>
      <w:pgSz w:w="11906" w:h="16838" w:code="9"/>
      <w:pgMar w:top="1418" w:right="907" w:bottom="1134" w:left="907"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1B87F9" w14:textId="77777777" w:rsidR="00430C15" w:rsidRDefault="00430C15" w:rsidP="00185154">
      <w:r>
        <w:separator/>
      </w:r>
    </w:p>
    <w:p w14:paraId="1C3C3081" w14:textId="77777777" w:rsidR="00430C15" w:rsidRDefault="00430C15"/>
  </w:endnote>
  <w:endnote w:type="continuationSeparator" w:id="0">
    <w:p w14:paraId="228D088C" w14:textId="77777777" w:rsidR="00430C15" w:rsidRDefault="00430C15" w:rsidP="00185154">
      <w:r>
        <w:continuationSeparator/>
      </w:r>
    </w:p>
    <w:p w14:paraId="178D991C" w14:textId="77777777" w:rsidR="00430C15" w:rsidRDefault="00430C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31BC0" w14:textId="77777777" w:rsidR="00430C15" w:rsidRDefault="00430C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9FF5D" w14:textId="77777777" w:rsidR="00430C15" w:rsidRPr="00EF5EEB" w:rsidRDefault="00430C15" w:rsidP="00EF5EEB">
    <w:pPr>
      <w:pStyle w:val="Footer"/>
      <w:jc w:val="right"/>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49DA7" w14:textId="77777777" w:rsidR="00430C15" w:rsidRDefault="00430C1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NoBorders"/>
      <w:tblW w:w="5000" w:type="pct"/>
      <w:tblBorders>
        <w:top w:val="single" w:sz="4" w:space="0" w:color="4E4E50" w:themeColor="accent2"/>
      </w:tblBorders>
      <w:tblLook w:val="0600" w:firstRow="0" w:lastRow="0" w:firstColumn="0" w:lastColumn="0" w:noHBand="1" w:noVBand="1"/>
    </w:tblPr>
    <w:tblGrid>
      <w:gridCol w:w="8461"/>
      <w:gridCol w:w="1631"/>
    </w:tblGrid>
    <w:tr w:rsidR="00430C15" w14:paraId="3EFA50A8" w14:textId="77777777" w:rsidTr="00125BE5">
      <w:sdt>
        <w:sdtPr>
          <w:alias w:val="[Document Title]"/>
          <w:tag w:val="Title"/>
          <w:id w:val="-899667364"/>
          <w:placeholder>
            <w:docPart w:val="FAC449E5854D4FE29060289DD247B12E"/>
          </w:placeholder>
          <w:dataBinding w:prefixMappings="xmlns:ns0='http://purl.org/dc/elements/1.1/' xmlns:ns1='http://schemas.openxmlformats.org/package/2006/metadata/core-properties' " w:xpath="/ns1:coreProperties[1]/ns0:title[1]" w:storeItemID="{6C3C8BC8-F283-45AE-878A-BAB7291924A1}"/>
          <w:text/>
        </w:sdtPr>
        <w:sdtEndPr/>
        <w:sdtContent>
          <w:tc>
            <w:tcPr>
              <w:tcW w:w="4192" w:type="pct"/>
            </w:tcPr>
            <w:p w14:paraId="6B9848EB" w14:textId="366D33C9" w:rsidR="00430C15" w:rsidRDefault="00430C15" w:rsidP="003A08A5">
              <w:pPr>
                <w:pStyle w:val="Footer"/>
              </w:pPr>
              <w:r>
                <w:t>Development Assessment Report</w:t>
              </w:r>
            </w:p>
          </w:tc>
        </w:sdtContent>
      </w:sdt>
      <w:tc>
        <w:tcPr>
          <w:tcW w:w="808" w:type="pct"/>
        </w:tcPr>
        <w:p w14:paraId="4C324127" w14:textId="29AD0224" w:rsidR="00430C15" w:rsidRPr="004F2DA1" w:rsidRDefault="00430C15" w:rsidP="004F2DA1">
          <w:pPr>
            <w:pStyle w:val="Footer"/>
            <w:jc w:val="right"/>
            <w:rPr>
              <w:b/>
            </w:rPr>
          </w:pPr>
          <w:r w:rsidRPr="004F2DA1">
            <w:rPr>
              <w:b/>
            </w:rPr>
            <w:fldChar w:fldCharType="begin"/>
          </w:r>
          <w:r w:rsidRPr="004F2DA1">
            <w:rPr>
              <w:b/>
            </w:rPr>
            <w:instrText xml:space="preserve"> PAGE   \* MERGEFORMAT </w:instrText>
          </w:r>
          <w:r w:rsidRPr="004F2DA1">
            <w:rPr>
              <w:b/>
            </w:rPr>
            <w:fldChar w:fldCharType="separate"/>
          </w:r>
          <w:r w:rsidR="00CE4039">
            <w:rPr>
              <w:b/>
              <w:noProof/>
            </w:rPr>
            <w:t>2</w:t>
          </w:r>
          <w:r w:rsidRPr="004F2DA1">
            <w:rPr>
              <w:b/>
              <w:noProof/>
            </w:rPr>
            <w:fldChar w:fldCharType="end"/>
          </w:r>
        </w:p>
      </w:tc>
    </w:tr>
  </w:tbl>
  <w:p w14:paraId="23F50E8E" w14:textId="77777777" w:rsidR="00430C15" w:rsidRPr="00125BE5" w:rsidRDefault="00430C15" w:rsidP="00125BE5">
    <w:pPr>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NoBorders"/>
      <w:tblW w:w="5000" w:type="pct"/>
      <w:tblBorders>
        <w:top w:val="single" w:sz="4" w:space="0" w:color="4E4E50" w:themeColor="accent2"/>
      </w:tblBorders>
      <w:tblLook w:val="0600" w:firstRow="0" w:lastRow="0" w:firstColumn="0" w:lastColumn="0" w:noHBand="1" w:noVBand="1"/>
    </w:tblPr>
    <w:tblGrid>
      <w:gridCol w:w="8461"/>
      <w:gridCol w:w="1631"/>
    </w:tblGrid>
    <w:tr w:rsidR="00430C15" w14:paraId="330D0E04" w14:textId="77777777" w:rsidTr="00125BE5">
      <w:sdt>
        <w:sdtPr>
          <w:alias w:val="[Document Title]"/>
          <w:tag w:val="Title"/>
          <w:id w:val="2118332674"/>
          <w:placeholder>
            <w:docPart w:val="CE116D06D1504524A1A16593EB886711"/>
          </w:placeholder>
          <w:dataBinding w:prefixMappings="xmlns:ns0='http://purl.org/dc/elements/1.1/' xmlns:ns1='http://schemas.openxmlformats.org/package/2006/metadata/core-properties' " w:xpath="/ns1:coreProperties[1]/ns0:title[1]" w:storeItemID="{6C3C8BC8-F283-45AE-878A-BAB7291924A1}"/>
          <w:text/>
        </w:sdtPr>
        <w:sdtEndPr/>
        <w:sdtContent>
          <w:tc>
            <w:tcPr>
              <w:tcW w:w="4192" w:type="pct"/>
            </w:tcPr>
            <w:p w14:paraId="332385BE" w14:textId="77777777" w:rsidR="00430C15" w:rsidRDefault="00430C15" w:rsidP="003A08A5">
              <w:pPr>
                <w:pStyle w:val="Footer"/>
              </w:pPr>
              <w:r>
                <w:t>Development Assessment Report</w:t>
              </w:r>
            </w:p>
          </w:tc>
        </w:sdtContent>
      </w:sdt>
      <w:tc>
        <w:tcPr>
          <w:tcW w:w="808" w:type="pct"/>
        </w:tcPr>
        <w:p w14:paraId="74CE8D3B" w14:textId="1A844BB2" w:rsidR="00430C15" w:rsidRPr="004F2DA1" w:rsidRDefault="00430C15" w:rsidP="004F2DA1">
          <w:pPr>
            <w:pStyle w:val="Footer"/>
            <w:jc w:val="right"/>
            <w:rPr>
              <w:b/>
            </w:rPr>
          </w:pPr>
        </w:p>
      </w:tc>
    </w:tr>
  </w:tbl>
  <w:p w14:paraId="16DF736A" w14:textId="77777777" w:rsidR="00430C15" w:rsidRPr="00125BE5" w:rsidRDefault="00430C15" w:rsidP="00125BE5">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2B8B0C" w14:textId="77777777" w:rsidR="00430C15" w:rsidRDefault="00430C15" w:rsidP="00185154">
      <w:r>
        <w:separator/>
      </w:r>
    </w:p>
    <w:p w14:paraId="27821BAF" w14:textId="77777777" w:rsidR="00430C15" w:rsidRDefault="00430C15"/>
  </w:footnote>
  <w:footnote w:type="continuationSeparator" w:id="0">
    <w:p w14:paraId="7B98E0CD" w14:textId="77777777" w:rsidR="00430C15" w:rsidRDefault="00430C15" w:rsidP="00185154">
      <w:r>
        <w:continuationSeparator/>
      </w:r>
    </w:p>
    <w:p w14:paraId="32F503D9" w14:textId="77777777" w:rsidR="00430C15" w:rsidRDefault="00430C1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86D9D" w14:textId="77777777" w:rsidR="00430C15" w:rsidRDefault="00430C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F0095" w14:textId="77777777" w:rsidR="00430C15" w:rsidRDefault="00430C1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4F67F" w14:textId="77777777" w:rsidR="00430C15" w:rsidRDefault="00430C1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B3EBF" w14:textId="77777777" w:rsidR="00430C15" w:rsidRPr="00125BE5" w:rsidRDefault="00430C15" w:rsidP="00125BE5">
    <w:pPr>
      <w:pStyle w:val="Header"/>
    </w:pPr>
    <w:r>
      <w:t>Elton Consulting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1311D"/>
    <w:multiLevelType w:val="multilevel"/>
    <w:tmpl w:val="4EBE366C"/>
    <w:styleLink w:val="ListBreakOut"/>
    <w:lvl w:ilvl="0">
      <w:start w:val="1"/>
      <w:numFmt w:val="bullet"/>
      <w:pStyle w:val="BreakOutBullets"/>
      <w:lvlText w:val="»"/>
      <w:lvlJc w:val="left"/>
      <w:pPr>
        <w:tabs>
          <w:tab w:val="num" w:pos="284"/>
        </w:tabs>
        <w:ind w:left="284" w:hanging="284"/>
      </w:pPr>
      <w:rPr>
        <w:rFonts w:ascii="Tahoma" w:hAnsi="Tahoma" w:hint="default"/>
        <w:caps w:val="0"/>
        <w:strike w:val="0"/>
        <w:dstrike w:val="0"/>
        <w:vanish w:val="0"/>
        <w:color w:val="FFFFFF" w:themeColor="background1"/>
        <w:vertAlign w:val="baseline"/>
      </w:rPr>
    </w:lvl>
    <w:lvl w:ilvl="1">
      <w:start w:val="1"/>
      <w:numFmt w:val="bullet"/>
      <w:pStyle w:val="BreakOutBullets2"/>
      <w:lvlText w:val="&gt;"/>
      <w:lvlJc w:val="left"/>
      <w:pPr>
        <w:tabs>
          <w:tab w:val="num" w:pos="567"/>
        </w:tabs>
        <w:ind w:left="567" w:hanging="283"/>
      </w:pPr>
      <w:rPr>
        <w:rFonts w:ascii="Tahoma" w:hAnsi="Tahoma" w:hint="default"/>
        <w:caps w:val="0"/>
        <w:strike w:val="0"/>
        <w:dstrike w:val="0"/>
        <w:vanish w:val="0"/>
        <w:color w:val="FFFFFF" w:themeColor="background1"/>
        <w:vertAlign w:val="baseline"/>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 w15:restartNumberingAfterBreak="0">
    <w:nsid w:val="01FB28C5"/>
    <w:multiLevelType w:val="multilevel"/>
    <w:tmpl w:val="64A2045C"/>
    <w:styleLink w:val="ListParagraph"/>
    <w:lvl w:ilvl="0">
      <w:start w:val="1"/>
      <w:numFmt w:val="none"/>
      <w:pStyle w:val="ListParagraph0"/>
      <w:suff w:val="nothing"/>
      <w:lvlText w:val=""/>
      <w:lvlJc w:val="left"/>
      <w:pPr>
        <w:ind w:left="425" w:firstLine="0"/>
      </w:pPr>
      <w:rPr>
        <w:rFonts w:asciiTheme="minorHAnsi" w:hAnsiTheme="minorHAnsi" w:hint="default"/>
        <w:color w:val="auto"/>
      </w:rPr>
    </w:lvl>
    <w:lvl w:ilvl="1">
      <w:start w:val="1"/>
      <w:numFmt w:val="none"/>
      <w:pStyle w:val="ListParagraph2"/>
      <w:suff w:val="nothing"/>
      <w:lvlText w:val=""/>
      <w:lvlJc w:val="left"/>
      <w:pPr>
        <w:ind w:left="850" w:firstLine="0"/>
      </w:pPr>
      <w:rPr>
        <w:rFonts w:asciiTheme="minorHAnsi" w:hAnsiTheme="minorHAnsi" w:hint="default"/>
        <w:color w:val="auto"/>
      </w:rPr>
    </w:lvl>
    <w:lvl w:ilvl="2">
      <w:start w:val="1"/>
      <w:numFmt w:val="none"/>
      <w:pStyle w:val="ListParagraph3"/>
      <w:suff w:val="nothing"/>
      <w:lvlText w:val=""/>
      <w:lvlJc w:val="left"/>
      <w:pPr>
        <w:ind w:left="1275" w:firstLine="0"/>
      </w:pPr>
      <w:rPr>
        <w:rFonts w:asciiTheme="minorHAnsi" w:hAnsiTheme="minorHAnsi" w:hint="default"/>
        <w:color w:val="auto"/>
      </w:rPr>
    </w:lvl>
    <w:lvl w:ilvl="3">
      <w:start w:val="1"/>
      <w:numFmt w:val="none"/>
      <w:pStyle w:val="ListParagraph4"/>
      <w:suff w:val="nothing"/>
      <w:lvlText w:val=""/>
      <w:lvlJc w:val="left"/>
      <w:pPr>
        <w:ind w:left="1700" w:firstLine="0"/>
      </w:pPr>
      <w:rPr>
        <w:rFonts w:asciiTheme="minorHAnsi" w:hAnsiTheme="minorHAnsi" w:hint="default"/>
        <w:color w:val="auto"/>
      </w:rPr>
    </w:lvl>
    <w:lvl w:ilvl="4">
      <w:start w:val="1"/>
      <w:numFmt w:val="none"/>
      <w:pStyle w:val="ListParagraph5"/>
      <w:suff w:val="nothing"/>
      <w:lvlText w:val=""/>
      <w:lvlJc w:val="left"/>
      <w:pPr>
        <w:ind w:left="2125" w:firstLine="0"/>
      </w:pPr>
      <w:rPr>
        <w:rFonts w:asciiTheme="minorHAnsi" w:hAnsiTheme="minorHAnsi" w:hint="default"/>
        <w:color w:val="auto"/>
      </w:rPr>
    </w:lvl>
    <w:lvl w:ilvl="5">
      <w:start w:val="1"/>
      <w:numFmt w:val="none"/>
      <w:pStyle w:val="ListParagraph6"/>
      <w:suff w:val="nothing"/>
      <w:lvlText w:val=""/>
      <w:lvlJc w:val="left"/>
      <w:pPr>
        <w:ind w:left="2550" w:firstLine="0"/>
      </w:pPr>
      <w:rPr>
        <w:rFonts w:asciiTheme="minorHAnsi" w:hAnsiTheme="minorHAns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2" w15:restartNumberingAfterBreak="0">
    <w:nsid w:val="07284AE9"/>
    <w:multiLevelType w:val="multilevel"/>
    <w:tmpl w:val="4F642FBC"/>
    <w:styleLink w:val="ListAlpha"/>
    <w:lvl w:ilvl="0">
      <w:start w:val="1"/>
      <w:numFmt w:val="lowerLetter"/>
      <w:pStyle w:val="ListAlpha0"/>
      <w:lvlText w:val="%1."/>
      <w:lvlJc w:val="left"/>
      <w:pPr>
        <w:tabs>
          <w:tab w:val="num" w:pos="425"/>
        </w:tabs>
        <w:ind w:left="425" w:hanging="425"/>
      </w:pPr>
      <w:rPr>
        <w:rFonts w:asciiTheme="minorHAnsi" w:hAnsiTheme="minorHAnsi" w:hint="default"/>
        <w:color w:val="4E4E50" w:themeColor="text2"/>
        <w:sz w:val="20"/>
      </w:rPr>
    </w:lvl>
    <w:lvl w:ilvl="1">
      <w:start w:val="1"/>
      <w:numFmt w:val="lowerRoman"/>
      <w:pStyle w:val="ListAlpha2"/>
      <w:lvlText w:val="%2."/>
      <w:lvlJc w:val="left"/>
      <w:pPr>
        <w:tabs>
          <w:tab w:val="num" w:pos="850"/>
        </w:tabs>
        <w:ind w:left="850" w:hanging="425"/>
      </w:pPr>
      <w:rPr>
        <w:rFonts w:asciiTheme="minorHAnsi" w:hAnsiTheme="minorHAnsi" w:hint="default"/>
        <w:color w:val="4E4E50" w:themeColor="text2"/>
      </w:rPr>
    </w:lvl>
    <w:lvl w:ilvl="2">
      <w:start w:val="1"/>
      <w:numFmt w:val="decimal"/>
      <w:pStyle w:val="ListAlpha3"/>
      <w:lvlText w:val="%3."/>
      <w:lvlJc w:val="left"/>
      <w:pPr>
        <w:tabs>
          <w:tab w:val="num" w:pos="1275"/>
        </w:tabs>
        <w:ind w:left="1275" w:hanging="425"/>
      </w:pPr>
      <w:rPr>
        <w:rFonts w:asciiTheme="minorHAnsi" w:hAnsiTheme="minorHAnsi" w:hint="default"/>
        <w:color w:val="4E4E50" w:themeColor="text2"/>
        <w:sz w:val="20"/>
      </w:rPr>
    </w:lvl>
    <w:lvl w:ilvl="3">
      <w:start w:val="1"/>
      <w:numFmt w:val="upperLetter"/>
      <w:pStyle w:val="ListAlpha4"/>
      <w:lvlText w:val="%4."/>
      <w:lvlJc w:val="left"/>
      <w:pPr>
        <w:tabs>
          <w:tab w:val="num" w:pos="1700"/>
        </w:tabs>
        <w:ind w:left="1700" w:hanging="425"/>
      </w:pPr>
      <w:rPr>
        <w:rFonts w:asciiTheme="minorHAnsi" w:hAnsiTheme="minorHAnsi" w:hint="default"/>
        <w:color w:val="4E4E50" w:themeColor="text2"/>
        <w:sz w:val="20"/>
      </w:rPr>
    </w:lvl>
    <w:lvl w:ilvl="4">
      <w:start w:val="1"/>
      <w:numFmt w:val="upperRoman"/>
      <w:pStyle w:val="ListAlpha5"/>
      <w:lvlText w:val="%5."/>
      <w:lvlJc w:val="left"/>
      <w:pPr>
        <w:tabs>
          <w:tab w:val="num" w:pos="2125"/>
        </w:tabs>
        <w:ind w:left="2125" w:hanging="425"/>
      </w:pPr>
      <w:rPr>
        <w:rFonts w:asciiTheme="minorHAnsi" w:hAnsiTheme="minorHAnsi" w:hint="default"/>
        <w:color w:val="4E4E50" w:themeColor="text2"/>
        <w:sz w:val="20"/>
      </w:rPr>
    </w:lvl>
    <w:lvl w:ilvl="5">
      <w:start w:val="1"/>
      <w:numFmt w:val="decimal"/>
      <w:pStyle w:val="ListAlpha6"/>
      <w:lvlText w:val="%6."/>
      <w:lvlJc w:val="left"/>
      <w:pPr>
        <w:tabs>
          <w:tab w:val="num" w:pos="2550"/>
        </w:tabs>
        <w:ind w:left="2550" w:hanging="425"/>
      </w:pPr>
      <w:rPr>
        <w:rFonts w:asciiTheme="minorHAnsi" w:hAnsiTheme="minorHAnsi" w:hint="default"/>
        <w:color w:val="4E4E50" w:themeColor="text2"/>
        <w:sz w:val="20"/>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3" w15:restartNumberingAfterBreak="0">
    <w:nsid w:val="0B5C77C8"/>
    <w:multiLevelType w:val="hybridMultilevel"/>
    <w:tmpl w:val="119C0AAE"/>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CD4DAA"/>
    <w:multiLevelType w:val="multilevel"/>
    <w:tmpl w:val="F78A1DCA"/>
    <w:styleLink w:val="ListTableBullet"/>
    <w:lvl w:ilvl="0">
      <w:start w:val="1"/>
      <w:numFmt w:val="bullet"/>
      <w:pStyle w:val="TableBullet"/>
      <w:lvlText w:val="»"/>
      <w:lvlJc w:val="left"/>
      <w:pPr>
        <w:tabs>
          <w:tab w:val="num" w:pos="397"/>
        </w:tabs>
        <w:ind w:left="397" w:hanging="284"/>
      </w:pPr>
      <w:rPr>
        <w:rFonts w:ascii="Tahoma" w:hAnsi="Tahoma" w:hint="default"/>
        <w:color w:val="4E4E50" w:themeColor="text2"/>
        <w:sz w:val="20"/>
      </w:rPr>
    </w:lvl>
    <w:lvl w:ilvl="1">
      <w:start w:val="1"/>
      <w:numFmt w:val="bullet"/>
      <w:pStyle w:val="TableBullet2"/>
      <w:lvlText w:val="&gt;"/>
      <w:lvlJc w:val="left"/>
      <w:pPr>
        <w:tabs>
          <w:tab w:val="num" w:pos="680"/>
        </w:tabs>
        <w:ind w:left="680" w:hanging="283"/>
      </w:pPr>
      <w:rPr>
        <w:rFonts w:ascii="Tahoma" w:hAnsi="Tahoma" w:hint="default"/>
        <w:color w:val="4E4E50" w:themeColor="text2"/>
        <w:sz w:val="20"/>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5" w15:restartNumberingAfterBreak="0">
    <w:nsid w:val="11AE6DC6"/>
    <w:multiLevelType w:val="multilevel"/>
    <w:tmpl w:val="736ECFBA"/>
    <w:lvl w:ilvl="0">
      <w:start w:val="1"/>
      <w:numFmt w:val="decimal"/>
      <w:lvlText w:val="%1."/>
      <w:lvlJc w:val="left"/>
      <w:pPr>
        <w:tabs>
          <w:tab w:val="num" w:pos="397"/>
        </w:tabs>
        <w:ind w:left="397" w:hanging="284"/>
      </w:pPr>
      <w:rPr>
        <w:rFonts w:asciiTheme="minorHAnsi" w:hAnsiTheme="minorHAnsi" w:cs="Times New Roman" w:hint="default"/>
        <w:b w:val="0"/>
        <w:i w:val="0"/>
        <w:color w:val="4E4E50" w:themeColor="text2"/>
        <w:sz w:val="20"/>
        <w:szCs w:val="21"/>
      </w:rPr>
    </w:lvl>
    <w:lvl w:ilvl="1">
      <w:start w:val="1"/>
      <w:numFmt w:val="lowerLetter"/>
      <w:lvlText w:val="%2."/>
      <w:lvlJc w:val="left"/>
      <w:pPr>
        <w:tabs>
          <w:tab w:val="num" w:pos="680"/>
        </w:tabs>
        <w:ind w:left="680" w:hanging="283"/>
      </w:pPr>
      <w:rPr>
        <w:rFonts w:asciiTheme="minorHAnsi" w:hAnsiTheme="minorHAnsi" w:cs="Times New Roman" w:hint="default"/>
        <w:b w:val="0"/>
        <w:i w:val="0"/>
        <w:color w:val="4E4E50" w:themeColor="text2"/>
        <w:sz w:val="20"/>
        <w:szCs w:val="21"/>
      </w:rPr>
    </w:lvl>
    <w:lvl w:ilvl="2">
      <w:start w:val="1"/>
      <w:numFmt w:val="none"/>
      <w:lvlText w:val=""/>
      <w:lvlJc w:val="left"/>
      <w:pPr>
        <w:tabs>
          <w:tab w:val="num" w:pos="0"/>
        </w:tabs>
        <w:ind w:left="0" w:firstLine="0"/>
      </w:pPr>
      <w:rPr>
        <w:rFonts w:ascii="Arial" w:hAnsi="Arial" w:cs="Times New Roman" w:hint="default"/>
        <w:b w:val="0"/>
        <w:i w:val="0"/>
        <w:sz w:val="18"/>
      </w:rPr>
    </w:lvl>
    <w:lvl w:ilvl="3">
      <w:start w:val="1"/>
      <w:numFmt w:val="none"/>
      <w:suff w:val="nothing"/>
      <w:lvlText w:val=""/>
      <w:lvlJc w:val="left"/>
      <w:pPr>
        <w:ind w:left="0" w:firstLine="0"/>
      </w:pPr>
      <w:rPr>
        <w:rFonts w:ascii="Arial" w:hAnsi="Arial" w:cs="Times New Roman" w:hint="default"/>
        <w:b w:val="0"/>
        <w:i w:val="0"/>
        <w:sz w:val="18"/>
      </w:rPr>
    </w:lvl>
    <w:lvl w:ilvl="4">
      <w:start w:val="1"/>
      <w:numFmt w:val="none"/>
      <w:suff w:val="nothing"/>
      <w:lvlText w:val=""/>
      <w:lvlJc w:val="left"/>
      <w:pPr>
        <w:ind w:left="0" w:firstLine="0"/>
      </w:pPr>
      <w:rPr>
        <w:rFonts w:ascii="Arial" w:hAnsi="Arial" w:cs="Times New Roman" w:hint="default"/>
        <w:b w:val="0"/>
        <w:i w:val="0"/>
        <w:sz w:val="18"/>
      </w:rPr>
    </w:lvl>
    <w:lvl w:ilvl="5">
      <w:start w:val="1"/>
      <w:numFmt w:val="none"/>
      <w:suff w:val="nothing"/>
      <w:lvlText w:val=""/>
      <w:lvlJc w:val="left"/>
      <w:pPr>
        <w:ind w:left="0" w:firstLine="0"/>
      </w:pPr>
      <w:rPr>
        <w:rFonts w:ascii="Arial" w:hAnsi="Arial" w:cs="Times New Roman" w:hint="default"/>
        <w:b w:val="0"/>
        <w:i w:val="0"/>
        <w:sz w:val="18"/>
      </w:rPr>
    </w:lvl>
    <w:lvl w:ilvl="6">
      <w:start w:val="1"/>
      <w:numFmt w:val="none"/>
      <w:suff w:val="nothing"/>
      <w:lvlText w:val="%7"/>
      <w:lvlJc w:val="left"/>
      <w:pPr>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6" w15:restartNumberingAfterBreak="0">
    <w:nsid w:val="20982562"/>
    <w:multiLevelType w:val="multilevel"/>
    <w:tmpl w:val="E74A8622"/>
    <w:numStyleLink w:val="ListNumber"/>
  </w:abstractNum>
  <w:abstractNum w:abstractNumId="7" w15:restartNumberingAfterBreak="0">
    <w:nsid w:val="23221200"/>
    <w:multiLevelType w:val="multilevel"/>
    <w:tmpl w:val="C650990E"/>
    <w:numStyleLink w:val="ListBullet"/>
  </w:abstractNum>
  <w:abstractNum w:abstractNumId="8" w15:restartNumberingAfterBreak="0">
    <w:nsid w:val="24741D40"/>
    <w:multiLevelType w:val="multilevel"/>
    <w:tmpl w:val="E74A8622"/>
    <w:styleLink w:val="ListNumber"/>
    <w:lvl w:ilvl="0">
      <w:start w:val="1"/>
      <w:numFmt w:val="decimal"/>
      <w:pStyle w:val="ListNumber0"/>
      <w:lvlText w:val="%1."/>
      <w:lvlJc w:val="left"/>
      <w:pPr>
        <w:tabs>
          <w:tab w:val="num" w:pos="425"/>
        </w:tabs>
        <w:ind w:left="425" w:hanging="425"/>
      </w:pPr>
      <w:rPr>
        <w:rFonts w:asciiTheme="minorHAnsi" w:hAnsiTheme="minorHAnsi" w:hint="default"/>
        <w:b w:val="0"/>
        <w:i w:val="0"/>
        <w:caps w:val="0"/>
        <w:strike w:val="0"/>
        <w:dstrike w:val="0"/>
        <w:vanish w:val="0"/>
        <w:color w:val="4E4E50" w:themeColor="text2"/>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ListNumber2"/>
      <w:lvlText w:val="%2."/>
      <w:lvlJc w:val="left"/>
      <w:pPr>
        <w:tabs>
          <w:tab w:val="num" w:pos="850"/>
        </w:tabs>
        <w:ind w:left="850" w:hanging="425"/>
      </w:pPr>
      <w:rPr>
        <w:rFonts w:asciiTheme="minorHAnsi" w:hAnsiTheme="minorHAnsi" w:hint="default"/>
        <w:b w:val="0"/>
        <w:i w:val="0"/>
        <w:color w:val="4E4E50" w:themeColor="text2"/>
        <w:sz w:val="20"/>
      </w:rPr>
    </w:lvl>
    <w:lvl w:ilvl="2">
      <w:start w:val="1"/>
      <w:numFmt w:val="lowerRoman"/>
      <w:pStyle w:val="ListNumber3"/>
      <w:lvlText w:val="%3."/>
      <w:lvlJc w:val="left"/>
      <w:pPr>
        <w:tabs>
          <w:tab w:val="num" w:pos="1275"/>
        </w:tabs>
        <w:ind w:left="1275" w:hanging="425"/>
      </w:pPr>
      <w:rPr>
        <w:rFonts w:asciiTheme="minorHAnsi" w:hAnsiTheme="minorHAnsi" w:hint="default"/>
        <w:b w:val="0"/>
        <w:i w:val="0"/>
        <w:color w:val="4E4E50" w:themeColor="text2"/>
        <w:sz w:val="20"/>
      </w:rPr>
    </w:lvl>
    <w:lvl w:ilvl="3">
      <w:start w:val="1"/>
      <w:numFmt w:val="upperLetter"/>
      <w:pStyle w:val="ListNumber4"/>
      <w:lvlText w:val="%4."/>
      <w:lvlJc w:val="left"/>
      <w:pPr>
        <w:tabs>
          <w:tab w:val="num" w:pos="1700"/>
        </w:tabs>
        <w:ind w:left="1700" w:hanging="425"/>
      </w:pPr>
      <w:rPr>
        <w:rFonts w:asciiTheme="minorHAnsi" w:hAnsiTheme="minorHAnsi" w:hint="default"/>
        <w:b w:val="0"/>
        <w:i w:val="0"/>
        <w:color w:val="4E4E50" w:themeColor="text2"/>
        <w:sz w:val="20"/>
      </w:rPr>
    </w:lvl>
    <w:lvl w:ilvl="4">
      <w:start w:val="1"/>
      <w:numFmt w:val="upperRoman"/>
      <w:pStyle w:val="ListNumber5"/>
      <w:lvlText w:val="%5."/>
      <w:lvlJc w:val="left"/>
      <w:pPr>
        <w:tabs>
          <w:tab w:val="num" w:pos="2125"/>
        </w:tabs>
        <w:ind w:left="2125" w:hanging="425"/>
      </w:pPr>
      <w:rPr>
        <w:rFonts w:asciiTheme="minorHAnsi" w:hAnsiTheme="minorHAnsi" w:hint="default"/>
        <w:b w:val="0"/>
        <w:i w:val="0"/>
        <w:color w:val="4E4E50" w:themeColor="text2"/>
        <w:sz w:val="20"/>
      </w:rPr>
    </w:lvl>
    <w:lvl w:ilvl="5">
      <w:start w:val="1"/>
      <w:numFmt w:val="decimal"/>
      <w:pStyle w:val="ListNumber6"/>
      <w:lvlText w:val="%6."/>
      <w:lvlJc w:val="left"/>
      <w:pPr>
        <w:tabs>
          <w:tab w:val="num" w:pos="2550"/>
        </w:tabs>
        <w:ind w:left="2550" w:hanging="425"/>
      </w:pPr>
      <w:rPr>
        <w:rFonts w:asciiTheme="minorHAnsi" w:hAnsiTheme="minorHAnsi" w:hint="default"/>
        <w:b w:val="0"/>
        <w:i w:val="0"/>
        <w:color w:val="4E4E50" w:themeColor="text2"/>
        <w:sz w:val="20"/>
      </w:rPr>
    </w:lvl>
    <w:lvl w:ilvl="6">
      <w:start w:val="1"/>
      <w:numFmt w:val="none"/>
      <w:suff w:val="nothing"/>
      <w:lvlText w:val="%7"/>
      <w:lvlJc w:val="left"/>
      <w:pPr>
        <w:ind w:left="2975" w:hanging="425"/>
      </w:pPr>
      <w:rPr>
        <w:rFonts w:hint="default"/>
        <w:color w:val="E1001A"/>
      </w:rPr>
    </w:lvl>
    <w:lvl w:ilvl="7">
      <w:start w:val="1"/>
      <w:numFmt w:val="none"/>
      <w:suff w:val="nothing"/>
      <w:lvlText w:val="%8"/>
      <w:lvlJc w:val="left"/>
      <w:pPr>
        <w:ind w:left="3400" w:hanging="425"/>
      </w:pPr>
      <w:rPr>
        <w:rFonts w:hint="default"/>
        <w:color w:val="E1001A"/>
        <w:sz w:val="20"/>
      </w:rPr>
    </w:lvl>
    <w:lvl w:ilvl="8">
      <w:start w:val="1"/>
      <w:numFmt w:val="none"/>
      <w:suff w:val="nothing"/>
      <w:lvlText w:val="%9"/>
      <w:lvlJc w:val="left"/>
      <w:pPr>
        <w:ind w:left="3825" w:hanging="425"/>
      </w:pPr>
      <w:rPr>
        <w:rFonts w:hint="default"/>
        <w:color w:val="E1001A"/>
      </w:rPr>
    </w:lvl>
  </w:abstractNum>
  <w:abstractNum w:abstractNumId="9" w15:restartNumberingAfterBreak="0">
    <w:nsid w:val="2C613EFC"/>
    <w:multiLevelType w:val="hybridMultilevel"/>
    <w:tmpl w:val="1012F406"/>
    <w:lvl w:ilvl="0" w:tplc="3A0C4ACA">
      <w:start w:val="1"/>
      <w:numFmt w:val="decimal"/>
      <w:lvlText w:val="%1."/>
      <w:lvlJc w:val="left"/>
      <w:pPr>
        <w:ind w:left="720" w:hanging="720"/>
      </w:pPr>
      <w:rPr>
        <w:rFonts w:asciiTheme="majorHAnsi" w:eastAsia="Times New Roman" w:hAnsiTheme="majorHAnsi" w:cs="Arial"/>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53912ED"/>
    <w:multiLevelType w:val="multilevel"/>
    <w:tmpl w:val="C650990E"/>
    <w:styleLink w:val="ListBullet"/>
    <w:lvl w:ilvl="0">
      <w:start w:val="1"/>
      <w:numFmt w:val="bullet"/>
      <w:pStyle w:val="ListBullet0"/>
      <w:lvlText w:val="»"/>
      <w:lvlJc w:val="left"/>
      <w:pPr>
        <w:tabs>
          <w:tab w:val="num" w:pos="425"/>
        </w:tabs>
        <w:ind w:left="425" w:hanging="425"/>
      </w:pPr>
      <w:rPr>
        <w:rFonts w:ascii="Tahoma" w:hAnsi="Tahoma" w:hint="default"/>
        <w:b w:val="0"/>
        <w:i w:val="0"/>
        <w:color w:val="4E4E50" w:themeColor="text2"/>
        <w:sz w:val="20"/>
        <w:szCs w:val="20"/>
      </w:rPr>
    </w:lvl>
    <w:lvl w:ilvl="1">
      <w:start w:val="1"/>
      <w:numFmt w:val="bullet"/>
      <w:pStyle w:val="ListBullet2"/>
      <w:lvlText w:val="&gt;"/>
      <w:lvlJc w:val="left"/>
      <w:pPr>
        <w:tabs>
          <w:tab w:val="num" w:pos="850"/>
        </w:tabs>
        <w:ind w:left="850" w:hanging="425"/>
      </w:pPr>
      <w:rPr>
        <w:rFonts w:ascii="Tahoma" w:hAnsi="Tahoma" w:hint="default"/>
        <w:caps w:val="0"/>
        <w:strike w:val="0"/>
        <w:dstrike w:val="0"/>
        <w:vanish w:val="0"/>
        <w:color w:val="4E4E50" w:themeColor="text2"/>
        <w:sz w:val="20"/>
        <w:u w:val="none"/>
        <w:vertAlign w:val="baseline"/>
      </w:rPr>
    </w:lvl>
    <w:lvl w:ilvl="2">
      <w:start w:val="1"/>
      <w:numFmt w:val="bullet"/>
      <w:pStyle w:val="ListBullet3"/>
      <w:lvlText w:val="—"/>
      <w:lvlJc w:val="left"/>
      <w:pPr>
        <w:tabs>
          <w:tab w:val="num" w:pos="1275"/>
        </w:tabs>
        <w:ind w:left="1275" w:hanging="425"/>
      </w:pPr>
      <w:rPr>
        <w:rFonts w:ascii="Tahoma" w:hAnsi="Tahoma" w:hint="default"/>
        <w:color w:val="4E4E50" w:themeColor="text2"/>
        <w:sz w:val="20"/>
      </w:rPr>
    </w:lvl>
    <w:lvl w:ilvl="3">
      <w:start w:val="1"/>
      <w:numFmt w:val="bullet"/>
      <w:pStyle w:val="ListBullet4"/>
      <w:lvlText w:val="»"/>
      <w:lvlJc w:val="left"/>
      <w:pPr>
        <w:tabs>
          <w:tab w:val="num" w:pos="1700"/>
        </w:tabs>
        <w:ind w:left="1700" w:hanging="425"/>
      </w:pPr>
      <w:rPr>
        <w:rFonts w:ascii="Tahoma" w:hAnsi="Tahoma" w:hint="default"/>
        <w:caps w:val="0"/>
        <w:strike w:val="0"/>
        <w:dstrike w:val="0"/>
        <w:vanish w:val="0"/>
        <w:color w:val="4E4E50" w:themeColor="text2"/>
        <w:sz w:val="20"/>
        <w:u w:val="none"/>
        <w:vertAlign w:val="baseline"/>
      </w:rPr>
    </w:lvl>
    <w:lvl w:ilvl="4">
      <w:start w:val="1"/>
      <w:numFmt w:val="bullet"/>
      <w:pStyle w:val="ListBullet5"/>
      <w:lvlText w:val="&gt;"/>
      <w:lvlJc w:val="left"/>
      <w:pPr>
        <w:tabs>
          <w:tab w:val="num" w:pos="2125"/>
        </w:tabs>
        <w:ind w:left="2125" w:hanging="425"/>
      </w:pPr>
      <w:rPr>
        <w:rFonts w:ascii="Tahoma" w:hAnsi="Tahoma" w:hint="default"/>
        <w:color w:val="4E4E50" w:themeColor="text2"/>
        <w:sz w:val="20"/>
      </w:rPr>
    </w:lvl>
    <w:lvl w:ilvl="5">
      <w:start w:val="1"/>
      <w:numFmt w:val="bullet"/>
      <w:pStyle w:val="ListBullet6"/>
      <w:lvlText w:val="—"/>
      <w:lvlJc w:val="left"/>
      <w:pPr>
        <w:tabs>
          <w:tab w:val="num" w:pos="2550"/>
        </w:tabs>
        <w:ind w:left="2550" w:hanging="425"/>
      </w:pPr>
      <w:rPr>
        <w:rFonts w:ascii="Tahoma" w:hAnsi="Tahoma" w:hint="default"/>
        <w:caps w:val="0"/>
        <w:strike w:val="0"/>
        <w:dstrike w:val="0"/>
        <w:vanish w:val="0"/>
        <w:color w:val="4E4E50" w:themeColor="text2"/>
        <w:sz w:val="20"/>
        <w:u w:val="none"/>
        <w:vertAlign w:val="baseline"/>
      </w:rPr>
    </w:lvl>
    <w:lvl w:ilvl="6">
      <w:start w:val="1"/>
      <w:numFmt w:val="none"/>
      <w:suff w:val="nothing"/>
      <w:lvlText w:val=""/>
      <w:lvlJc w:val="left"/>
      <w:pPr>
        <w:ind w:left="2975" w:hanging="425"/>
      </w:pPr>
      <w:rPr>
        <w:rFonts w:hint="default"/>
        <w:color w:val="auto"/>
        <w:sz w:val="20"/>
      </w:rPr>
    </w:lvl>
    <w:lvl w:ilvl="7">
      <w:start w:val="1"/>
      <w:numFmt w:val="none"/>
      <w:suff w:val="nothing"/>
      <w:lvlText w:val="%8"/>
      <w:lvlJc w:val="left"/>
      <w:pPr>
        <w:ind w:left="3400" w:hanging="425"/>
      </w:pPr>
      <w:rPr>
        <w:rFonts w:hint="default"/>
        <w:color w:val="000000"/>
        <w:sz w:val="20"/>
      </w:rPr>
    </w:lvl>
    <w:lvl w:ilvl="8">
      <w:start w:val="1"/>
      <w:numFmt w:val="none"/>
      <w:suff w:val="nothing"/>
      <w:lvlText w:val=""/>
      <w:lvlJc w:val="left"/>
      <w:pPr>
        <w:ind w:left="3825" w:hanging="425"/>
      </w:pPr>
      <w:rPr>
        <w:rFonts w:hint="default"/>
      </w:rPr>
    </w:lvl>
  </w:abstractNum>
  <w:abstractNum w:abstractNumId="11" w15:restartNumberingAfterBreak="0">
    <w:nsid w:val="374E66E4"/>
    <w:multiLevelType w:val="multilevel"/>
    <w:tmpl w:val="7F6A9ED2"/>
    <w:styleLink w:val="ListAppHeadings"/>
    <w:lvl w:ilvl="0">
      <w:start w:val="1"/>
      <w:numFmt w:val="upperLetter"/>
      <w:pStyle w:val="AppHeading1"/>
      <w:lvlText w:val="%1"/>
      <w:lvlJc w:val="left"/>
      <w:pPr>
        <w:tabs>
          <w:tab w:val="num" w:pos="1134"/>
        </w:tabs>
        <w:ind w:left="1134" w:hanging="1134"/>
      </w:pPr>
      <w:rPr>
        <w:rFonts w:hint="default"/>
        <w:b w:val="0"/>
        <w:i w:val="0"/>
        <w:caps w:val="0"/>
        <w:strike w:val="0"/>
        <w:dstrike w:val="0"/>
        <w:vanish w:val="0"/>
        <w:color w:val="41A62A" w:themeColor="accent1"/>
        <w:vertAlign w:val="baseline"/>
      </w:rPr>
    </w:lvl>
    <w:lvl w:ilvl="1">
      <w:start w:val="1"/>
      <w:numFmt w:val="decimal"/>
      <w:pStyle w:val="AppHeading2"/>
      <w:lvlText w:val="%1-%2"/>
      <w:lvlJc w:val="left"/>
      <w:pPr>
        <w:tabs>
          <w:tab w:val="num" w:pos="1134"/>
        </w:tabs>
        <w:ind w:left="1134" w:hanging="1134"/>
      </w:pPr>
      <w:rPr>
        <w:rFonts w:hint="default"/>
        <w:b w:val="0"/>
        <w:i w:val="0"/>
        <w:caps w:val="0"/>
        <w:strike w:val="0"/>
        <w:dstrike w:val="0"/>
        <w:vanish w:val="0"/>
        <w:color w:val="4E4E50" w:themeColor="accent2"/>
        <w:vertAlign w:val="baseline"/>
      </w:rPr>
    </w:lvl>
    <w:lvl w:ilvl="2">
      <w:start w:val="1"/>
      <w:numFmt w:val="decimal"/>
      <w:pStyle w:val="AppHeading3"/>
      <w:lvlText w:val="%1-%2-%3"/>
      <w:lvlJc w:val="left"/>
      <w:pPr>
        <w:tabs>
          <w:tab w:val="num" w:pos="1134"/>
        </w:tabs>
        <w:ind w:left="1134" w:hanging="1134"/>
      </w:pPr>
      <w:rPr>
        <w:rFonts w:hint="default"/>
        <w:b w:val="0"/>
        <w:i w:val="0"/>
        <w:caps w:val="0"/>
        <w:strike w:val="0"/>
        <w:dstrike w:val="0"/>
        <w:vanish w:val="0"/>
        <w:color w:val="4E4E50" w:themeColor="accent2"/>
        <w:vertAlign w:val="baseline"/>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87F212B"/>
    <w:multiLevelType w:val="multilevel"/>
    <w:tmpl w:val="7F6A9ED2"/>
    <w:numStyleLink w:val="ListAppHeadings"/>
  </w:abstractNum>
  <w:abstractNum w:abstractNumId="13" w15:restartNumberingAfterBreak="0">
    <w:nsid w:val="3AE240AF"/>
    <w:multiLevelType w:val="hybridMultilevel"/>
    <w:tmpl w:val="7DF0EFE0"/>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3B5B5A9B"/>
    <w:multiLevelType w:val="multilevel"/>
    <w:tmpl w:val="4F642FBC"/>
    <w:numStyleLink w:val="ListAlpha"/>
  </w:abstractNum>
  <w:abstractNum w:abstractNumId="15" w15:restartNumberingAfterBreak="0">
    <w:nsid w:val="40071FAE"/>
    <w:multiLevelType w:val="multilevel"/>
    <w:tmpl w:val="F18C11DC"/>
    <w:styleLink w:val="ListNumberedHeadings"/>
    <w:lvl w:ilvl="0">
      <w:start w:val="1"/>
      <w:numFmt w:val="decimal"/>
      <w:pStyle w:val="Heading1"/>
      <w:lvlText w:val="%1"/>
      <w:lvlJc w:val="left"/>
      <w:pPr>
        <w:tabs>
          <w:tab w:val="num" w:pos="1134"/>
        </w:tabs>
        <w:ind w:left="1134" w:hanging="1134"/>
      </w:pPr>
      <w:rPr>
        <w:rFonts w:asciiTheme="majorHAnsi" w:hAnsiTheme="majorHAnsi" w:hint="default"/>
        <w:b w:val="0"/>
        <w:caps w:val="0"/>
        <w:strike w:val="0"/>
        <w:dstrike w:val="0"/>
        <w:vanish w:val="0"/>
        <w:color w:val="41A62A" w:themeColor="accent1"/>
        <w:vertAlign w:val="baseline"/>
      </w:rPr>
    </w:lvl>
    <w:lvl w:ilvl="1">
      <w:start w:val="1"/>
      <w:numFmt w:val="decimal"/>
      <w:pStyle w:val="Heading2"/>
      <w:lvlText w:val="%1.%2"/>
      <w:lvlJc w:val="left"/>
      <w:pPr>
        <w:tabs>
          <w:tab w:val="num" w:pos="1134"/>
        </w:tabs>
        <w:ind w:left="1134" w:hanging="1134"/>
      </w:pPr>
      <w:rPr>
        <w:rFonts w:asciiTheme="majorHAnsi" w:hAnsiTheme="majorHAnsi" w:hint="default"/>
        <w:b w:val="0"/>
        <w:i w:val="0"/>
        <w:caps w:val="0"/>
        <w:strike w:val="0"/>
        <w:dstrike w:val="0"/>
        <w:vanish w:val="0"/>
        <w:color w:val="4E4E50" w:themeColor="accent2"/>
        <w:vertAlign w:val="baseline"/>
      </w:rPr>
    </w:lvl>
    <w:lvl w:ilvl="2">
      <w:start w:val="1"/>
      <w:numFmt w:val="decimal"/>
      <w:pStyle w:val="Heading3"/>
      <w:lvlText w:val="%1.%2.%3"/>
      <w:lvlJc w:val="left"/>
      <w:pPr>
        <w:tabs>
          <w:tab w:val="num" w:pos="1134"/>
        </w:tabs>
        <w:ind w:left="1134" w:hanging="1134"/>
      </w:pPr>
      <w:rPr>
        <w:rFonts w:asciiTheme="majorHAnsi" w:hAnsiTheme="majorHAnsi" w:hint="default"/>
        <w:b w:val="0"/>
        <w:caps w:val="0"/>
        <w:strike w:val="0"/>
        <w:dstrike w:val="0"/>
        <w:vanish w:val="0"/>
        <w:color w:val="4E4E50" w:themeColor="accent2"/>
        <w:vertAlign w:val="baseline"/>
      </w:rPr>
    </w:lvl>
    <w:lvl w:ilvl="3">
      <w:start w:val="1"/>
      <w:numFmt w:val="decimal"/>
      <w:lvlText w:val="%1.%2.%3.%4"/>
      <w:lvlJc w:val="left"/>
      <w:pPr>
        <w:tabs>
          <w:tab w:val="num" w:pos="1134"/>
        </w:tabs>
        <w:ind w:left="1134" w:hanging="1134"/>
      </w:pPr>
      <w:rPr>
        <w:rFonts w:asciiTheme="majorHAnsi" w:hAnsiTheme="majorHAnsi" w:hint="default"/>
        <w:b w:val="0"/>
        <w:caps w:val="0"/>
        <w:strike w:val="0"/>
        <w:dstrike w:val="0"/>
        <w:vanish w:val="0"/>
        <w:color w:val="41A62A" w:themeColor="accent1"/>
        <w:sz w:val="26"/>
        <w:vertAlign w:val="baseline"/>
      </w:rPr>
    </w:lvl>
    <w:lvl w:ilvl="4">
      <w:start w:val="1"/>
      <w:numFmt w:val="none"/>
      <w:suff w:val="nothing"/>
      <w:lvlText w:val=""/>
      <w:lvlJc w:val="left"/>
      <w:pPr>
        <w:ind w:left="0" w:firstLine="0"/>
      </w:pPr>
      <w:rPr>
        <w:rFonts w:asciiTheme="majorHAnsi" w:hAnsiTheme="majorHAnsi" w:hint="default"/>
        <w:color w:val="auto"/>
        <w:sz w:val="20"/>
      </w:rPr>
    </w:lvl>
    <w:lvl w:ilvl="5">
      <w:start w:val="1"/>
      <w:numFmt w:val="none"/>
      <w:suff w:val="nothing"/>
      <w:lvlText w:val=""/>
      <w:lvlJc w:val="left"/>
      <w:pPr>
        <w:ind w:left="0"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6" w15:restartNumberingAfterBreak="0">
    <w:nsid w:val="44BD5077"/>
    <w:multiLevelType w:val="hybridMultilevel"/>
    <w:tmpl w:val="0520EFEE"/>
    <w:lvl w:ilvl="0" w:tplc="1D220DC8">
      <w:start w:val="1"/>
      <w:numFmt w:val="lowerLetter"/>
      <w:lvlText w:val="%1."/>
      <w:lvlJc w:val="left"/>
      <w:pPr>
        <w:ind w:left="473" w:hanging="360"/>
      </w:pPr>
    </w:lvl>
    <w:lvl w:ilvl="1" w:tplc="0C090019">
      <w:start w:val="1"/>
      <w:numFmt w:val="lowerLetter"/>
      <w:lvlText w:val="%2."/>
      <w:lvlJc w:val="left"/>
      <w:pPr>
        <w:ind w:left="1193" w:hanging="360"/>
      </w:pPr>
    </w:lvl>
    <w:lvl w:ilvl="2" w:tplc="0C09001B">
      <w:start w:val="1"/>
      <w:numFmt w:val="lowerRoman"/>
      <w:lvlText w:val="%3."/>
      <w:lvlJc w:val="right"/>
      <w:pPr>
        <w:ind w:left="1913" w:hanging="180"/>
      </w:pPr>
    </w:lvl>
    <w:lvl w:ilvl="3" w:tplc="0C09000F">
      <w:start w:val="1"/>
      <w:numFmt w:val="decimal"/>
      <w:lvlText w:val="%4."/>
      <w:lvlJc w:val="left"/>
      <w:pPr>
        <w:ind w:left="2633" w:hanging="360"/>
      </w:pPr>
    </w:lvl>
    <w:lvl w:ilvl="4" w:tplc="0C090019">
      <w:start w:val="1"/>
      <w:numFmt w:val="lowerLetter"/>
      <w:lvlText w:val="%5."/>
      <w:lvlJc w:val="left"/>
      <w:pPr>
        <w:ind w:left="3353" w:hanging="360"/>
      </w:pPr>
    </w:lvl>
    <w:lvl w:ilvl="5" w:tplc="0C09001B">
      <w:start w:val="1"/>
      <w:numFmt w:val="lowerRoman"/>
      <w:lvlText w:val="%6."/>
      <w:lvlJc w:val="right"/>
      <w:pPr>
        <w:ind w:left="4073" w:hanging="180"/>
      </w:pPr>
    </w:lvl>
    <w:lvl w:ilvl="6" w:tplc="0C09000F">
      <w:start w:val="1"/>
      <w:numFmt w:val="decimal"/>
      <w:lvlText w:val="%7."/>
      <w:lvlJc w:val="left"/>
      <w:pPr>
        <w:ind w:left="4793" w:hanging="360"/>
      </w:pPr>
    </w:lvl>
    <w:lvl w:ilvl="7" w:tplc="0C090019">
      <w:start w:val="1"/>
      <w:numFmt w:val="lowerLetter"/>
      <w:lvlText w:val="%8."/>
      <w:lvlJc w:val="left"/>
      <w:pPr>
        <w:ind w:left="5513" w:hanging="360"/>
      </w:pPr>
    </w:lvl>
    <w:lvl w:ilvl="8" w:tplc="0C09001B">
      <w:start w:val="1"/>
      <w:numFmt w:val="lowerRoman"/>
      <w:lvlText w:val="%9."/>
      <w:lvlJc w:val="right"/>
      <w:pPr>
        <w:ind w:left="6233" w:hanging="180"/>
      </w:pPr>
    </w:lvl>
  </w:abstractNum>
  <w:abstractNum w:abstractNumId="17" w15:restartNumberingAfterBreak="0">
    <w:nsid w:val="51D93A71"/>
    <w:multiLevelType w:val="hybridMultilevel"/>
    <w:tmpl w:val="EB62AD3E"/>
    <w:lvl w:ilvl="0" w:tplc="ED34ACFC">
      <w:start w:val="3"/>
      <w:numFmt w:val="bullet"/>
      <w:lvlText w:val="-"/>
      <w:lvlJc w:val="left"/>
      <w:pPr>
        <w:ind w:left="473" w:hanging="360"/>
      </w:pPr>
      <w:rPr>
        <w:rFonts w:ascii="Tahoma" w:eastAsiaTheme="minorHAnsi" w:hAnsi="Tahoma" w:cs="Tahoma"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18" w15:restartNumberingAfterBreak="0">
    <w:nsid w:val="53D00FD0"/>
    <w:multiLevelType w:val="multilevel"/>
    <w:tmpl w:val="64A2045C"/>
    <w:numStyleLink w:val="ListParagraph"/>
  </w:abstractNum>
  <w:abstractNum w:abstractNumId="19" w15:restartNumberingAfterBreak="0">
    <w:nsid w:val="60480713"/>
    <w:multiLevelType w:val="multilevel"/>
    <w:tmpl w:val="D63EC63E"/>
    <w:numStyleLink w:val="ListTableNumber"/>
  </w:abstractNum>
  <w:abstractNum w:abstractNumId="20" w15:restartNumberingAfterBreak="0">
    <w:nsid w:val="60B37A22"/>
    <w:multiLevelType w:val="multilevel"/>
    <w:tmpl w:val="F18C11DC"/>
    <w:numStyleLink w:val="ListNumberedHeadings"/>
  </w:abstractNum>
  <w:abstractNum w:abstractNumId="21" w15:restartNumberingAfterBreak="0">
    <w:nsid w:val="626E5373"/>
    <w:multiLevelType w:val="multilevel"/>
    <w:tmpl w:val="D63EC63E"/>
    <w:styleLink w:val="ListTableNumber"/>
    <w:lvl w:ilvl="0">
      <w:start w:val="1"/>
      <w:numFmt w:val="decimal"/>
      <w:pStyle w:val="TableNumber"/>
      <w:lvlText w:val="%1."/>
      <w:lvlJc w:val="left"/>
      <w:pPr>
        <w:tabs>
          <w:tab w:val="num" w:pos="454"/>
        </w:tabs>
        <w:ind w:left="454" w:hanging="341"/>
      </w:pPr>
      <w:rPr>
        <w:rFonts w:asciiTheme="minorHAnsi" w:hAnsiTheme="minorHAnsi" w:hint="default"/>
        <w:b w:val="0"/>
        <w:i w:val="0"/>
        <w:color w:val="4E4E50" w:themeColor="text2"/>
        <w:sz w:val="20"/>
        <w:szCs w:val="21"/>
      </w:rPr>
    </w:lvl>
    <w:lvl w:ilvl="1">
      <w:start w:val="1"/>
      <w:numFmt w:val="lowerLetter"/>
      <w:pStyle w:val="TableNumber2"/>
      <w:lvlText w:val="%2."/>
      <w:lvlJc w:val="left"/>
      <w:pPr>
        <w:tabs>
          <w:tab w:val="num" w:pos="794"/>
        </w:tabs>
        <w:ind w:left="794" w:hanging="340"/>
      </w:pPr>
      <w:rPr>
        <w:rFonts w:asciiTheme="minorHAnsi" w:hAnsiTheme="minorHAnsi" w:hint="default"/>
        <w:b w:val="0"/>
        <w:i w:val="0"/>
        <w:color w:val="4E4E50" w:themeColor="text2"/>
        <w:sz w:val="20"/>
        <w:szCs w:val="21"/>
      </w:rPr>
    </w:lvl>
    <w:lvl w:ilvl="2">
      <w:start w:val="1"/>
      <w:numFmt w:val="none"/>
      <w:lvlText w:val=""/>
      <w:lvlJc w:val="left"/>
      <w:pPr>
        <w:tabs>
          <w:tab w:val="num" w:pos="0"/>
        </w:tabs>
        <w:ind w:left="0" w:firstLine="0"/>
      </w:pPr>
      <w:rPr>
        <w:rFonts w:ascii="Arial" w:hAnsi="Arial" w:hint="default"/>
        <w:b w:val="0"/>
        <w:i w:val="0"/>
        <w:sz w:val="18"/>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ascii="Arial" w:hAnsi="Arial" w:hint="default"/>
        <w:b w:val="0"/>
        <w:i w:val="0"/>
        <w:sz w:val="18"/>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2" w15:restartNumberingAfterBreak="0">
    <w:nsid w:val="6404362E"/>
    <w:multiLevelType w:val="hybridMultilevel"/>
    <w:tmpl w:val="DBAC133A"/>
    <w:lvl w:ilvl="0" w:tplc="F760E9FC">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E2E1EA2"/>
    <w:multiLevelType w:val="multilevel"/>
    <w:tmpl w:val="F78A1DCA"/>
    <w:numStyleLink w:val="ListTableBullet"/>
  </w:abstractNum>
  <w:abstractNum w:abstractNumId="24" w15:restartNumberingAfterBreak="0">
    <w:nsid w:val="703F65EF"/>
    <w:multiLevelType w:val="multilevel"/>
    <w:tmpl w:val="6DAE25A8"/>
    <w:styleLink w:val="ListTableAlpha"/>
    <w:lvl w:ilvl="0">
      <w:start w:val="1"/>
      <w:numFmt w:val="lowerLetter"/>
      <w:pStyle w:val="TableAlpha"/>
      <w:lvlText w:val="%1."/>
      <w:lvlJc w:val="left"/>
      <w:pPr>
        <w:tabs>
          <w:tab w:val="num" w:pos="397"/>
        </w:tabs>
        <w:ind w:left="397" w:hanging="284"/>
      </w:pPr>
      <w:rPr>
        <w:rFonts w:hint="default"/>
      </w:rPr>
    </w:lvl>
    <w:lvl w:ilvl="1">
      <w:start w:val="1"/>
      <w:numFmt w:val="lowerRoman"/>
      <w:pStyle w:val="TableAlpha2"/>
      <w:lvlText w:val="%2."/>
      <w:lvlJc w:val="left"/>
      <w:pPr>
        <w:tabs>
          <w:tab w:val="num" w:pos="680"/>
        </w:tabs>
        <w:ind w:left="680" w:hanging="283"/>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abstractNumId w:val="2"/>
  </w:num>
  <w:num w:numId="2">
    <w:abstractNumId w:val="10"/>
  </w:num>
  <w:num w:numId="3">
    <w:abstractNumId w:val="8"/>
  </w:num>
  <w:num w:numId="4">
    <w:abstractNumId w:val="15"/>
  </w:num>
  <w:num w:numId="5">
    <w:abstractNumId w:val="1"/>
  </w:num>
  <w:num w:numId="6">
    <w:abstractNumId w:val="4"/>
  </w:num>
  <w:num w:numId="7">
    <w:abstractNumId w:val="21"/>
  </w:num>
  <w:num w:numId="8">
    <w:abstractNumId w:val="18"/>
  </w:num>
  <w:num w:numId="9">
    <w:abstractNumId w:val="14"/>
  </w:num>
  <w:num w:numId="10">
    <w:abstractNumId w:val="6"/>
  </w:num>
  <w:num w:numId="11">
    <w:abstractNumId w:val="7"/>
  </w:num>
  <w:num w:numId="12">
    <w:abstractNumId w:val="23"/>
  </w:num>
  <w:num w:numId="13">
    <w:abstractNumId w:val="11"/>
  </w:num>
  <w:num w:numId="14">
    <w:abstractNumId w:val="12"/>
  </w:num>
  <w:num w:numId="15">
    <w:abstractNumId w:val="0"/>
  </w:num>
  <w:num w:numId="16">
    <w:abstractNumId w:val="20"/>
  </w:num>
  <w:num w:numId="17">
    <w:abstractNumId w:val="24"/>
  </w:num>
  <w:num w:numId="18">
    <w:abstractNumId w:val="24"/>
  </w:num>
  <w:num w:numId="19">
    <w:abstractNumId w:val="19"/>
  </w:num>
  <w:num w:numId="20">
    <w:abstractNumId w:val="9"/>
  </w:num>
  <w:num w:numId="21">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22"/>
  </w:num>
  <w:num w:numId="26">
    <w:abstractNumId w:val="17"/>
  </w:num>
  <w:num w:numId="27">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AppendixName" w:val="Appendix"/>
  </w:docVars>
  <w:rsids>
    <w:rsidRoot w:val="001C65AF"/>
    <w:rsid w:val="00001963"/>
    <w:rsid w:val="00006100"/>
    <w:rsid w:val="00006A17"/>
    <w:rsid w:val="00007A97"/>
    <w:rsid w:val="00015658"/>
    <w:rsid w:val="00024473"/>
    <w:rsid w:val="00036F63"/>
    <w:rsid w:val="00037D1B"/>
    <w:rsid w:val="00050463"/>
    <w:rsid w:val="0005445D"/>
    <w:rsid w:val="00061635"/>
    <w:rsid w:val="00063908"/>
    <w:rsid w:val="00067ED7"/>
    <w:rsid w:val="00071006"/>
    <w:rsid w:val="00071C7D"/>
    <w:rsid w:val="000755A3"/>
    <w:rsid w:val="00076F97"/>
    <w:rsid w:val="000824CC"/>
    <w:rsid w:val="00083436"/>
    <w:rsid w:val="00083B7C"/>
    <w:rsid w:val="00085457"/>
    <w:rsid w:val="00085FBF"/>
    <w:rsid w:val="0008618B"/>
    <w:rsid w:val="0008626C"/>
    <w:rsid w:val="000870BB"/>
    <w:rsid w:val="00087170"/>
    <w:rsid w:val="000871A4"/>
    <w:rsid w:val="00087D93"/>
    <w:rsid w:val="00094209"/>
    <w:rsid w:val="00094D92"/>
    <w:rsid w:val="000A0F7A"/>
    <w:rsid w:val="000A1F96"/>
    <w:rsid w:val="000A2953"/>
    <w:rsid w:val="000A3872"/>
    <w:rsid w:val="000A5475"/>
    <w:rsid w:val="000B2C15"/>
    <w:rsid w:val="000B3EBE"/>
    <w:rsid w:val="000B4436"/>
    <w:rsid w:val="000B6FA1"/>
    <w:rsid w:val="000C0C22"/>
    <w:rsid w:val="000C1D1E"/>
    <w:rsid w:val="000C527B"/>
    <w:rsid w:val="000C7DA6"/>
    <w:rsid w:val="000D0E56"/>
    <w:rsid w:val="000D1F6F"/>
    <w:rsid w:val="000D229E"/>
    <w:rsid w:val="000D622C"/>
    <w:rsid w:val="000F22BF"/>
    <w:rsid w:val="000F4A35"/>
    <w:rsid w:val="00100AB8"/>
    <w:rsid w:val="00103965"/>
    <w:rsid w:val="00104AEA"/>
    <w:rsid w:val="00105518"/>
    <w:rsid w:val="001063C6"/>
    <w:rsid w:val="00110F24"/>
    <w:rsid w:val="001122EF"/>
    <w:rsid w:val="00113385"/>
    <w:rsid w:val="00116BBC"/>
    <w:rsid w:val="0012045E"/>
    <w:rsid w:val="00123C94"/>
    <w:rsid w:val="00124672"/>
    <w:rsid w:val="0012582F"/>
    <w:rsid w:val="00125BE5"/>
    <w:rsid w:val="00125C7B"/>
    <w:rsid w:val="00126A22"/>
    <w:rsid w:val="001271CB"/>
    <w:rsid w:val="0013181E"/>
    <w:rsid w:val="0013189B"/>
    <w:rsid w:val="0013218E"/>
    <w:rsid w:val="001357D6"/>
    <w:rsid w:val="0014073D"/>
    <w:rsid w:val="001413F2"/>
    <w:rsid w:val="00145CCD"/>
    <w:rsid w:val="001505D8"/>
    <w:rsid w:val="00154790"/>
    <w:rsid w:val="001550E7"/>
    <w:rsid w:val="00155822"/>
    <w:rsid w:val="00156423"/>
    <w:rsid w:val="00156511"/>
    <w:rsid w:val="00157C71"/>
    <w:rsid w:val="00157FCB"/>
    <w:rsid w:val="001600E5"/>
    <w:rsid w:val="001633AF"/>
    <w:rsid w:val="00170D4F"/>
    <w:rsid w:val="00170F7B"/>
    <w:rsid w:val="001712AA"/>
    <w:rsid w:val="0017271A"/>
    <w:rsid w:val="00173A98"/>
    <w:rsid w:val="00173D52"/>
    <w:rsid w:val="001829A7"/>
    <w:rsid w:val="0018372B"/>
    <w:rsid w:val="00184B58"/>
    <w:rsid w:val="00184F00"/>
    <w:rsid w:val="00185154"/>
    <w:rsid w:val="00185444"/>
    <w:rsid w:val="0019114D"/>
    <w:rsid w:val="00191324"/>
    <w:rsid w:val="0019253A"/>
    <w:rsid w:val="001A431A"/>
    <w:rsid w:val="001A531B"/>
    <w:rsid w:val="001A5839"/>
    <w:rsid w:val="001B68F5"/>
    <w:rsid w:val="001C0451"/>
    <w:rsid w:val="001C5215"/>
    <w:rsid w:val="001C65AF"/>
    <w:rsid w:val="001D2BE7"/>
    <w:rsid w:val="001D6C9E"/>
    <w:rsid w:val="001D72AE"/>
    <w:rsid w:val="001E0349"/>
    <w:rsid w:val="001E2F18"/>
    <w:rsid w:val="001E5EBA"/>
    <w:rsid w:val="001E684F"/>
    <w:rsid w:val="001E785C"/>
    <w:rsid w:val="001F0984"/>
    <w:rsid w:val="001F15CE"/>
    <w:rsid w:val="001F16CA"/>
    <w:rsid w:val="001F42C1"/>
    <w:rsid w:val="001F4383"/>
    <w:rsid w:val="001F560B"/>
    <w:rsid w:val="00201FFF"/>
    <w:rsid w:val="00205895"/>
    <w:rsid w:val="002058BD"/>
    <w:rsid w:val="002060EB"/>
    <w:rsid w:val="002078C1"/>
    <w:rsid w:val="002106C4"/>
    <w:rsid w:val="00210DEF"/>
    <w:rsid w:val="002115A8"/>
    <w:rsid w:val="00220FE7"/>
    <w:rsid w:val="00222215"/>
    <w:rsid w:val="002236E9"/>
    <w:rsid w:val="00223B71"/>
    <w:rsid w:val="0023189A"/>
    <w:rsid w:val="00235EA6"/>
    <w:rsid w:val="002376D9"/>
    <w:rsid w:val="00237B6F"/>
    <w:rsid w:val="00242C5B"/>
    <w:rsid w:val="0025119D"/>
    <w:rsid w:val="00252201"/>
    <w:rsid w:val="00252DED"/>
    <w:rsid w:val="00254DD8"/>
    <w:rsid w:val="00257DDF"/>
    <w:rsid w:val="00260991"/>
    <w:rsid w:val="002630C9"/>
    <w:rsid w:val="002636FD"/>
    <w:rsid w:val="002754C7"/>
    <w:rsid w:val="00275ED9"/>
    <w:rsid w:val="00276CA3"/>
    <w:rsid w:val="00280B12"/>
    <w:rsid w:val="00286042"/>
    <w:rsid w:val="00290E8A"/>
    <w:rsid w:val="00291AE6"/>
    <w:rsid w:val="0029560D"/>
    <w:rsid w:val="00296B41"/>
    <w:rsid w:val="00296E2D"/>
    <w:rsid w:val="002A09B9"/>
    <w:rsid w:val="002A7BFB"/>
    <w:rsid w:val="002B4003"/>
    <w:rsid w:val="002B4271"/>
    <w:rsid w:val="002B45EA"/>
    <w:rsid w:val="002B7AD5"/>
    <w:rsid w:val="002C1302"/>
    <w:rsid w:val="002C3075"/>
    <w:rsid w:val="002C3BDC"/>
    <w:rsid w:val="002C5B1C"/>
    <w:rsid w:val="002C6885"/>
    <w:rsid w:val="002C6FA2"/>
    <w:rsid w:val="002D4254"/>
    <w:rsid w:val="002D4E6E"/>
    <w:rsid w:val="002D4EB4"/>
    <w:rsid w:val="002E27C1"/>
    <w:rsid w:val="002F289E"/>
    <w:rsid w:val="002F4862"/>
    <w:rsid w:val="002F504F"/>
    <w:rsid w:val="002F55A8"/>
    <w:rsid w:val="003003C2"/>
    <w:rsid w:val="00301893"/>
    <w:rsid w:val="00302E73"/>
    <w:rsid w:val="00306217"/>
    <w:rsid w:val="00312015"/>
    <w:rsid w:val="0032265D"/>
    <w:rsid w:val="00323679"/>
    <w:rsid w:val="003254D7"/>
    <w:rsid w:val="003276E7"/>
    <w:rsid w:val="003278A9"/>
    <w:rsid w:val="00331CE8"/>
    <w:rsid w:val="00337CA6"/>
    <w:rsid w:val="003411DD"/>
    <w:rsid w:val="003429C4"/>
    <w:rsid w:val="00344838"/>
    <w:rsid w:val="00355606"/>
    <w:rsid w:val="00356C78"/>
    <w:rsid w:val="00357D55"/>
    <w:rsid w:val="0036518D"/>
    <w:rsid w:val="003655CF"/>
    <w:rsid w:val="00367400"/>
    <w:rsid w:val="003677A4"/>
    <w:rsid w:val="003718A4"/>
    <w:rsid w:val="00372C93"/>
    <w:rsid w:val="00373373"/>
    <w:rsid w:val="0037398C"/>
    <w:rsid w:val="0037618F"/>
    <w:rsid w:val="0037701B"/>
    <w:rsid w:val="00377C07"/>
    <w:rsid w:val="00381405"/>
    <w:rsid w:val="003851EF"/>
    <w:rsid w:val="003853C1"/>
    <w:rsid w:val="00386F2A"/>
    <w:rsid w:val="00391634"/>
    <w:rsid w:val="00392411"/>
    <w:rsid w:val="003A04C1"/>
    <w:rsid w:val="003A08A5"/>
    <w:rsid w:val="003A5EFA"/>
    <w:rsid w:val="003A7ADE"/>
    <w:rsid w:val="003B0945"/>
    <w:rsid w:val="003B097F"/>
    <w:rsid w:val="003B225D"/>
    <w:rsid w:val="003B4DCF"/>
    <w:rsid w:val="003B59B0"/>
    <w:rsid w:val="003C053A"/>
    <w:rsid w:val="003D3B71"/>
    <w:rsid w:val="003D56AF"/>
    <w:rsid w:val="003D6E07"/>
    <w:rsid w:val="003D7D8B"/>
    <w:rsid w:val="003E1EF3"/>
    <w:rsid w:val="003E436F"/>
    <w:rsid w:val="003E4F0E"/>
    <w:rsid w:val="003E5319"/>
    <w:rsid w:val="003F327C"/>
    <w:rsid w:val="003F50F4"/>
    <w:rsid w:val="0040019B"/>
    <w:rsid w:val="0040339E"/>
    <w:rsid w:val="0040455F"/>
    <w:rsid w:val="00404615"/>
    <w:rsid w:val="004057D2"/>
    <w:rsid w:val="00407776"/>
    <w:rsid w:val="00412C88"/>
    <w:rsid w:val="0041455F"/>
    <w:rsid w:val="004163E5"/>
    <w:rsid w:val="00416FF1"/>
    <w:rsid w:val="004178B4"/>
    <w:rsid w:val="00420A9C"/>
    <w:rsid w:val="004215CB"/>
    <w:rsid w:val="00425C39"/>
    <w:rsid w:val="004264CD"/>
    <w:rsid w:val="00427353"/>
    <w:rsid w:val="00430C15"/>
    <w:rsid w:val="00430CC1"/>
    <w:rsid w:val="00431D7F"/>
    <w:rsid w:val="00434EB5"/>
    <w:rsid w:val="0043564D"/>
    <w:rsid w:val="0043628A"/>
    <w:rsid w:val="004441C7"/>
    <w:rsid w:val="00444AE6"/>
    <w:rsid w:val="00444B1E"/>
    <w:rsid w:val="00446403"/>
    <w:rsid w:val="00447340"/>
    <w:rsid w:val="004478FD"/>
    <w:rsid w:val="0045039E"/>
    <w:rsid w:val="004523B1"/>
    <w:rsid w:val="00453119"/>
    <w:rsid w:val="00453A14"/>
    <w:rsid w:val="00461ECB"/>
    <w:rsid w:val="004700B3"/>
    <w:rsid w:val="004701DE"/>
    <w:rsid w:val="004709CC"/>
    <w:rsid w:val="00471BC8"/>
    <w:rsid w:val="004733E5"/>
    <w:rsid w:val="004738C9"/>
    <w:rsid w:val="0047542F"/>
    <w:rsid w:val="00475EFD"/>
    <w:rsid w:val="00476808"/>
    <w:rsid w:val="00482309"/>
    <w:rsid w:val="00484630"/>
    <w:rsid w:val="00487EE2"/>
    <w:rsid w:val="00490093"/>
    <w:rsid w:val="00491C59"/>
    <w:rsid w:val="004937FA"/>
    <w:rsid w:val="004943D6"/>
    <w:rsid w:val="004948DF"/>
    <w:rsid w:val="00497CD9"/>
    <w:rsid w:val="004A3DF9"/>
    <w:rsid w:val="004A715D"/>
    <w:rsid w:val="004B1252"/>
    <w:rsid w:val="004B1568"/>
    <w:rsid w:val="004B3EC4"/>
    <w:rsid w:val="004B4D69"/>
    <w:rsid w:val="004B6138"/>
    <w:rsid w:val="004B6BDD"/>
    <w:rsid w:val="004B79E5"/>
    <w:rsid w:val="004B7DAE"/>
    <w:rsid w:val="004C0E7A"/>
    <w:rsid w:val="004C12F1"/>
    <w:rsid w:val="004D4159"/>
    <w:rsid w:val="004D606B"/>
    <w:rsid w:val="004D6717"/>
    <w:rsid w:val="004D6EA8"/>
    <w:rsid w:val="004E3370"/>
    <w:rsid w:val="004E3503"/>
    <w:rsid w:val="004E5BA4"/>
    <w:rsid w:val="004E79A4"/>
    <w:rsid w:val="004F1E65"/>
    <w:rsid w:val="004F2A3C"/>
    <w:rsid w:val="004F2DA1"/>
    <w:rsid w:val="004F3D6F"/>
    <w:rsid w:val="004F5EE0"/>
    <w:rsid w:val="00501EFE"/>
    <w:rsid w:val="00502C52"/>
    <w:rsid w:val="00504D4F"/>
    <w:rsid w:val="00505C74"/>
    <w:rsid w:val="0051056D"/>
    <w:rsid w:val="00510D68"/>
    <w:rsid w:val="00511311"/>
    <w:rsid w:val="00522BBE"/>
    <w:rsid w:val="00525B24"/>
    <w:rsid w:val="00526B15"/>
    <w:rsid w:val="005316B9"/>
    <w:rsid w:val="005330BE"/>
    <w:rsid w:val="005331C9"/>
    <w:rsid w:val="00533619"/>
    <w:rsid w:val="00535ADA"/>
    <w:rsid w:val="00537378"/>
    <w:rsid w:val="00540C79"/>
    <w:rsid w:val="00540FDE"/>
    <w:rsid w:val="005420F5"/>
    <w:rsid w:val="00542B4C"/>
    <w:rsid w:val="00542EE9"/>
    <w:rsid w:val="005444EB"/>
    <w:rsid w:val="00550C41"/>
    <w:rsid w:val="0055114A"/>
    <w:rsid w:val="00551ECE"/>
    <w:rsid w:val="0055219D"/>
    <w:rsid w:val="0055353F"/>
    <w:rsid w:val="00555290"/>
    <w:rsid w:val="005553AA"/>
    <w:rsid w:val="00560147"/>
    <w:rsid w:val="00560F18"/>
    <w:rsid w:val="00561E0C"/>
    <w:rsid w:val="00562951"/>
    <w:rsid w:val="0056633F"/>
    <w:rsid w:val="005713E5"/>
    <w:rsid w:val="005714FC"/>
    <w:rsid w:val="00572AFA"/>
    <w:rsid w:val="00573894"/>
    <w:rsid w:val="0057531E"/>
    <w:rsid w:val="005760FE"/>
    <w:rsid w:val="0057630A"/>
    <w:rsid w:val="00580E88"/>
    <w:rsid w:val="00590523"/>
    <w:rsid w:val="005913ED"/>
    <w:rsid w:val="00592544"/>
    <w:rsid w:val="00597376"/>
    <w:rsid w:val="005A1CD4"/>
    <w:rsid w:val="005A2349"/>
    <w:rsid w:val="005A36ED"/>
    <w:rsid w:val="005A435A"/>
    <w:rsid w:val="005A6D1D"/>
    <w:rsid w:val="005B0C40"/>
    <w:rsid w:val="005B3CB8"/>
    <w:rsid w:val="005B5BCA"/>
    <w:rsid w:val="005C0930"/>
    <w:rsid w:val="005D1CA9"/>
    <w:rsid w:val="005D2971"/>
    <w:rsid w:val="005D57CA"/>
    <w:rsid w:val="005D620B"/>
    <w:rsid w:val="005E1245"/>
    <w:rsid w:val="005E259B"/>
    <w:rsid w:val="005E27AF"/>
    <w:rsid w:val="005E6097"/>
    <w:rsid w:val="005E79F3"/>
    <w:rsid w:val="005F0A15"/>
    <w:rsid w:val="005F3924"/>
    <w:rsid w:val="005F5676"/>
    <w:rsid w:val="005F7882"/>
    <w:rsid w:val="00601A3D"/>
    <w:rsid w:val="006025ED"/>
    <w:rsid w:val="0061089F"/>
    <w:rsid w:val="00610F22"/>
    <w:rsid w:val="006113EB"/>
    <w:rsid w:val="006127E2"/>
    <w:rsid w:val="00612DAF"/>
    <w:rsid w:val="00613B81"/>
    <w:rsid w:val="00614060"/>
    <w:rsid w:val="00625BCE"/>
    <w:rsid w:val="006303C1"/>
    <w:rsid w:val="0063108A"/>
    <w:rsid w:val="00631315"/>
    <w:rsid w:val="0063187D"/>
    <w:rsid w:val="00631E81"/>
    <w:rsid w:val="00633235"/>
    <w:rsid w:val="0063342E"/>
    <w:rsid w:val="00633B80"/>
    <w:rsid w:val="00642489"/>
    <w:rsid w:val="00642E23"/>
    <w:rsid w:val="00650A8A"/>
    <w:rsid w:val="0065325A"/>
    <w:rsid w:val="0065561E"/>
    <w:rsid w:val="00655B9F"/>
    <w:rsid w:val="00661081"/>
    <w:rsid w:val="00666F90"/>
    <w:rsid w:val="00674316"/>
    <w:rsid w:val="00680324"/>
    <w:rsid w:val="00682F2A"/>
    <w:rsid w:val="00682F75"/>
    <w:rsid w:val="00684759"/>
    <w:rsid w:val="00684E74"/>
    <w:rsid w:val="0068776C"/>
    <w:rsid w:val="00690443"/>
    <w:rsid w:val="00691194"/>
    <w:rsid w:val="00696FFC"/>
    <w:rsid w:val="006A0437"/>
    <w:rsid w:val="006A1801"/>
    <w:rsid w:val="006A2101"/>
    <w:rsid w:val="006B2299"/>
    <w:rsid w:val="006C5EDF"/>
    <w:rsid w:val="006C62FB"/>
    <w:rsid w:val="006C7F6C"/>
    <w:rsid w:val="006D22C5"/>
    <w:rsid w:val="006D2FD7"/>
    <w:rsid w:val="006D4F53"/>
    <w:rsid w:val="006D7DB8"/>
    <w:rsid w:val="006E0D0B"/>
    <w:rsid w:val="006E143C"/>
    <w:rsid w:val="006E29E8"/>
    <w:rsid w:val="006E6D46"/>
    <w:rsid w:val="006F184F"/>
    <w:rsid w:val="006F2D6F"/>
    <w:rsid w:val="006F6AC2"/>
    <w:rsid w:val="00701B4C"/>
    <w:rsid w:val="00705A20"/>
    <w:rsid w:val="00707540"/>
    <w:rsid w:val="0070791B"/>
    <w:rsid w:val="0071072A"/>
    <w:rsid w:val="00711B9D"/>
    <w:rsid w:val="007156B2"/>
    <w:rsid w:val="00717426"/>
    <w:rsid w:val="00717A5E"/>
    <w:rsid w:val="00721B0D"/>
    <w:rsid w:val="0072308F"/>
    <w:rsid w:val="0072703E"/>
    <w:rsid w:val="007306DC"/>
    <w:rsid w:val="0073133D"/>
    <w:rsid w:val="00731FD8"/>
    <w:rsid w:val="00736AEF"/>
    <w:rsid w:val="00741647"/>
    <w:rsid w:val="007428CD"/>
    <w:rsid w:val="00745B30"/>
    <w:rsid w:val="00751880"/>
    <w:rsid w:val="0075304E"/>
    <w:rsid w:val="00754496"/>
    <w:rsid w:val="00770BF1"/>
    <w:rsid w:val="00771DA5"/>
    <w:rsid w:val="00773EB8"/>
    <w:rsid w:val="00774E81"/>
    <w:rsid w:val="00785704"/>
    <w:rsid w:val="0078596B"/>
    <w:rsid w:val="007905DC"/>
    <w:rsid w:val="0079763A"/>
    <w:rsid w:val="007A4EA4"/>
    <w:rsid w:val="007A5346"/>
    <w:rsid w:val="007C0E93"/>
    <w:rsid w:val="007C5879"/>
    <w:rsid w:val="007D0190"/>
    <w:rsid w:val="007D4E57"/>
    <w:rsid w:val="007D5A6D"/>
    <w:rsid w:val="007D63CB"/>
    <w:rsid w:val="007D667D"/>
    <w:rsid w:val="007D6C47"/>
    <w:rsid w:val="007E453C"/>
    <w:rsid w:val="007F319D"/>
    <w:rsid w:val="00801BA5"/>
    <w:rsid w:val="00806A6E"/>
    <w:rsid w:val="008101F0"/>
    <w:rsid w:val="00816CCA"/>
    <w:rsid w:val="00822503"/>
    <w:rsid w:val="00825C20"/>
    <w:rsid w:val="00831047"/>
    <w:rsid w:val="00833524"/>
    <w:rsid w:val="008350DF"/>
    <w:rsid w:val="008354F2"/>
    <w:rsid w:val="00842FBF"/>
    <w:rsid w:val="00845393"/>
    <w:rsid w:val="00845732"/>
    <w:rsid w:val="008468E2"/>
    <w:rsid w:val="008470D6"/>
    <w:rsid w:val="00847B2D"/>
    <w:rsid w:val="008525E7"/>
    <w:rsid w:val="00856BF8"/>
    <w:rsid w:val="00856D04"/>
    <w:rsid w:val="008572D9"/>
    <w:rsid w:val="0085791D"/>
    <w:rsid w:val="00861897"/>
    <w:rsid w:val="00861E13"/>
    <w:rsid w:val="00863738"/>
    <w:rsid w:val="00867706"/>
    <w:rsid w:val="00867D51"/>
    <w:rsid w:val="00874A90"/>
    <w:rsid w:val="00877C46"/>
    <w:rsid w:val="0088750F"/>
    <w:rsid w:val="00892496"/>
    <w:rsid w:val="00892D2A"/>
    <w:rsid w:val="00893B11"/>
    <w:rsid w:val="00894765"/>
    <w:rsid w:val="008A223A"/>
    <w:rsid w:val="008A6F22"/>
    <w:rsid w:val="008B241C"/>
    <w:rsid w:val="008B5D8F"/>
    <w:rsid w:val="008D6A36"/>
    <w:rsid w:val="008E7D77"/>
    <w:rsid w:val="008F38B7"/>
    <w:rsid w:val="008F4696"/>
    <w:rsid w:val="008F4E0B"/>
    <w:rsid w:val="008F6601"/>
    <w:rsid w:val="00900256"/>
    <w:rsid w:val="009072BA"/>
    <w:rsid w:val="00907866"/>
    <w:rsid w:val="00916D38"/>
    <w:rsid w:val="00917119"/>
    <w:rsid w:val="00917538"/>
    <w:rsid w:val="00920413"/>
    <w:rsid w:val="00921EBC"/>
    <w:rsid w:val="00923AD0"/>
    <w:rsid w:val="00924A67"/>
    <w:rsid w:val="00926E53"/>
    <w:rsid w:val="0092726F"/>
    <w:rsid w:val="00933D1B"/>
    <w:rsid w:val="009453E1"/>
    <w:rsid w:val="009467D5"/>
    <w:rsid w:val="009468D8"/>
    <w:rsid w:val="00950153"/>
    <w:rsid w:val="00953458"/>
    <w:rsid w:val="009571D7"/>
    <w:rsid w:val="0096016E"/>
    <w:rsid w:val="0096185C"/>
    <w:rsid w:val="00962DE9"/>
    <w:rsid w:val="00966659"/>
    <w:rsid w:val="0097023B"/>
    <w:rsid w:val="0097269E"/>
    <w:rsid w:val="00975060"/>
    <w:rsid w:val="00976EEC"/>
    <w:rsid w:val="009834CA"/>
    <w:rsid w:val="0098429C"/>
    <w:rsid w:val="00995EB7"/>
    <w:rsid w:val="009A199C"/>
    <w:rsid w:val="009A22AE"/>
    <w:rsid w:val="009A3B3F"/>
    <w:rsid w:val="009A4625"/>
    <w:rsid w:val="009B0192"/>
    <w:rsid w:val="009B2847"/>
    <w:rsid w:val="009B65BE"/>
    <w:rsid w:val="009B68E4"/>
    <w:rsid w:val="009B6BBD"/>
    <w:rsid w:val="009C1919"/>
    <w:rsid w:val="009C5D35"/>
    <w:rsid w:val="009D1556"/>
    <w:rsid w:val="009D3F15"/>
    <w:rsid w:val="009D55DA"/>
    <w:rsid w:val="009D670A"/>
    <w:rsid w:val="009D7B28"/>
    <w:rsid w:val="009E14E9"/>
    <w:rsid w:val="009E16E9"/>
    <w:rsid w:val="009E73C1"/>
    <w:rsid w:val="009F22D1"/>
    <w:rsid w:val="009F3C82"/>
    <w:rsid w:val="009F4A11"/>
    <w:rsid w:val="009F4DBA"/>
    <w:rsid w:val="009F6CE7"/>
    <w:rsid w:val="00A07497"/>
    <w:rsid w:val="00A07960"/>
    <w:rsid w:val="00A10136"/>
    <w:rsid w:val="00A10F6A"/>
    <w:rsid w:val="00A11BBA"/>
    <w:rsid w:val="00A2078F"/>
    <w:rsid w:val="00A21C33"/>
    <w:rsid w:val="00A24AE9"/>
    <w:rsid w:val="00A319F0"/>
    <w:rsid w:val="00A35BBF"/>
    <w:rsid w:val="00A35DAD"/>
    <w:rsid w:val="00A41250"/>
    <w:rsid w:val="00A41D4E"/>
    <w:rsid w:val="00A46E5C"/>
    <w:rsid w:val="00A52A8F"/>
    <w:rsid w:val="00A55155"/>
    <w:rsid w:val="00A573B6"/>
    <w:rsid w:val="00A57A6D"/>
    <w:rsid w:val="00A61981"/>
    <w:rsid w:val="00A640FF"/>
    <w:rsid w:val="00A75160"/>
    <w:rsid w:val="00A76DB5"/>
    <w:rsid w:val="00A81407"/>
    <w:rsid w:val="00A8169B"/>
    <w:rsid w:val="00A827B9"/>
    <w:rsid w:val="00A83349"/>
    <w:rsid w:val="00A83B38"/>
    <w:rsid w:val="00A84704"/>
    <w:rsid w:val="00A91DBC"/>
    <w:rsid w:val="00A9252D"/>
    <w:rsid w:val="00AA3054"/>
    <w:rsid w:val="00AA3F69"/>
    <w:rsid w:val="00AA49DC"/>
    <w:rsid w:val="00AA6010"/>
    <w:rsid w:val="00AA68EE"/>
    <w:rsid w:val="00AA6A7A"/>
    <w:rsid w:val="00AA7406"/>
    <w:rsid w:val="00AA7D32"/>
    <w:rsid w:val="00AC1B12"/>
    <w:rsid w:val="00AC3060"/>
    <w:rsid w:val="00AC6024"/>
    <w:rsid w:val="00AD6EC2"/>
    <w:rsid w:val="00AE3B12"/>
    <w:rsid w:val="00AE4698"/>
    <w:rsid w:val="00AE4C26"/>
    <w:rsid w:val="00AE57B6"/>
    <w:rsid w:val="00AE70B3"/>
    <w:rsid w:val="00AE7A82"/>
    <w:rsid w:val="00AF2204"/>
    <w:rsid w:val="00AF2A39"/>
    <w:rsid w:val="00AF5D8B"/>
    <w:rsid w:val="00B012F3"/>
    <w:rsid w:val="00B0167E"/>
    <w:rsid w:val="00B017F5"/>
    <w:rsid w:val="00B0614A"/>
    <w:rsid w:val="00B113CE"/>
    <w:rsid w:val="00B1273F"/>
    <w:rsid w:val="00B26E76"/>
    <w:rsid w:val="00B2758E"/>
    <w:rsid w:val="00B34D55"/>
    <w:rsid w:val="00B35797"/>
    <w:rsid w:val="00B36D62"/>
    <w:rsid w:val="00B40530"/>
    <w:rsid w:val="00B40994"/>
    <w:rsid w:val="00B41337"/>
    <w:rsid w:val="00B4417A"/>
    <w:rsid w:val="00B5016A"/>
    <w:rsid w:val="00B508BF"/>
    <w:rsid w:val="00B50ABF"/>
    <w:rsid w:val="00B50C42"/>
    <w:rsid w:val="00B5327B"/>
    <w:rsid w:val="00B532D3"/>
    <w:rsid w:val="00B53493"/>
    <w:rsid w:val="00B55794"/>
    <w:rsid w:val="00B55D18"/>
    <w:rsid w:val="00B55F05"/>
    <w:rsid w:val="00B55FCB"/>
    <w:rsid w:val="00B56CC8"/>
    <w:rsid w:val="00B60544"/>
    <w:rsid w:val="00B60718"/>
    <w:rsid w:val="00B62BBC"/>
    <w:rsid w:val="00B65281"/>
    <w:rsid w:val="00B668FB"/>
    <w:rsid w:val="00B71213"/>
    <w:rsid w:val="00B72578"/>
    <w:rsid w:val="00B72E2F"/>
    <w:rsid w:val="00B75E70"/>
    <w:rsid w:val="00B76B8E"/>
    <w:rsid w:val="00B809BD"/>
    <w:rsid w:val="00B85471"/>
    <w:rsid w:val="00B92788"/>
    <w:rsid w:val="00B94642"/>
    <w:rsid w:val="00B953E5"/>
    <w:rsid w:val="00BA45AE"/>
    <w:rsid w:val="00BA499C"/>
    <w:rsid w:val="00BA4F4A"/>
    <w:rsid w:val="00BA66AD"/>
    <w:rsid w:val="00BA780E"/>
    <w:rsid w:val="00BB0A70"/>
    <w:rsid w:val="00BB0EDD"/>
    <w:rsid w:val="00BB3F1C"/>
    <w:rsid w:val="00BC2DD3"/>
    <w:rsid w:val="00BC5B58"/>
    <w:rsid w:val="00BC6189"/>
    <w:rsid w:val="00BC67B1"/>
    <w:rsid w:val="00BD65E8"/>
    <w:rsid w:val="00BD6F09"/>
    <w:rsid w:val="00BD7CF3"/>
    <w:rsid w:val="00BD7D66"/>
    <w:rsid w:val="00BE16D4"/>
    <w:rsid w:val="00BE424C"/>
    <w:rsid w:val="00BE69CE"/>
    <w:rsid w:val="00BF07C2"/>
    <w:rsid w:val="00BF2C53"/>
    <w:rsid w:val="00BF3972"/>
    <w:rsid w:val="00BF42B5"/>
    <w:rsid w:val="00BF5933"/>
    <w:rsid w:val="00C000C3"/>
    <w:rsid w:val="00C024D5"/>
    <w:rsid w:val="00C0288F"/>
    <w:rsid w:val="00C02E60"/>
    <w:rsid w:val="00C10095"/>
    <w:rsid w:val="00C11F96"/>
    <w:rsid w:val="00C13B2C"/>
    <w:rsid w:val="00C14E67"/>
    <w:rsid w:val="00C174E3"/>
    <w:rsid w:val="00C240FD"/>
    <w:rsid w:val="00C24374"/>
    <w:rsid w:val="00C2541D"/>
    <w:rsid w:val="00C25D50"/>
    <w:rsid w:val="00C27243"/>
    <w:rsid w:val="00C274A5"/>
    <w:rsid w:val="00C27DD7"/>
    <w:rsid w:val="00C302EF"/>
    <w:rsid w:val="00C34C25"/>
    <w:rsid w:val="00C34DD0"/>
    <w:rsid w:val="00C37176"/>
    <w:rsid w:val="00C41F73"/>
    <w:rsid w:val="00C44B74"/>
    <w:rsid w:val="00C5030E"/>
    <w:rsid w:val="00C5065C"/>
    <w:rsid w:val="00C5398E"/>
    <w:rsid w:val="00C56BB2"/>
    <w:rsid w:val="00C64315"/>
    <w:rsid w:val="00C6504C"/>
    <w:rsid w:val="00C70F6D"/>
    <w:rsid w:val="00C745D4"/>
    <w:rsid w:val="00C74C53"/>
    <w:rsid w:val="00C83EB7"/>
    <w:rsid w:val="00C84789"/>
    <w:rsid w:val="00C847D9"/>
    <w:rsid w:val="00C853EB"/>
    <w:rsid w:val="00C8592B"/>
    <w:rsid w:val="00C910FC"/>
    <w:rsid w:val="00C9316E"/>
    <w:rsid w:val="00C9376F"/>
    <w:rsid w:val="00C941F0"/>
    <w:rsid w:val="00C97431"/>
    <w:rsid w:val="00CA15AC"/>
    <w:rsid w:val="00CA17BA"/>
    <w:rsid w:val="00CA2ECA"/>
    <w:rsid w:val="00CA5BDD"/>
    <w:rsid w:val="00CA6A47"/>
    <w:rsid w:val="00CA6C39"/>
    <w:rsid w:val="00CA6FE2"/>
    <w:rsid w:val="00CB1B04"/>
    <w:rsid w:val="00CB3288"/>
    <w:rsid w:val="00CB5A23"/>
    <w:rsid w:val="00CC0C52"/>
    <w:rsid w:val="00CC22E1"/>
    <w:rsid w:val="00CC4ECF"/>
    <w:rsid w:val="00CD274F"/>
    <w:rsid w:val="00CD29E8"/>
    <w:rsid w:val="00CD2C30"/>
    <w:rsid w:val="00CD4A22"/>
    <w:rsid w:val="00CE1082"/>
    <w:rsid w:val="00CE38CD"/>
    <w:rsid w:val="00CE4039"/>
    <w:rsid w:val="00CF52B1"/>
    <w:rsid w:val="00D00835"/>
    <w:rsid w:val="00D01791"/>
    <w:rsid w:val="00D022E5"/>
    <w:rsid w:val="00D06D82"/>
    <w:rsid w:val="00D1088D"/>
    <w:rsid w:val="00D16E6C"/>
    <w:rsid w:val="00D21682"/>
    <w:rsid w:val="00D2203B"/>
    <w:rsid w:val="00D241D3"/>
    <w:rsid w:val="00D24769"/>
    <w:rsid w:val="00D24A01"/>
    <w:rsid w:val="00D24A90"/>
    <w:rsid w:val="00D253E1"/>
    <w:rsid w:val="00D27FA8"/>
    <w:rsid w:val="00D3200F"/>
    <w:rsid w:val="00D32B36"/>
    <w:rsid w:val="00D32F91"/>
    <w:rsid w:val="00D33823"/>
    <w:rsid w:val="00D3552F"/>
    <w:rsid w:val="00D365D3"/>
    <w:rsid w:val="00D42F7B"/>
    <w:rsid w:val="00D518D7"/>
    <w:rsid w:val="00D55089"/>
    <w:rsid w:val="00D603E8"/>
    <w:rsid w:val="00D627E1"/>
    <w:rsid w:val="00D63051"/>
    <w:rsid w:val="00D65684"/>
    <w:rsid w:val="00D81AB9"/>
    <w:rsid w:val="00D83394"/>
    <w:rsid w:val="00D90483"/>
    <w:rsid w:val="00D926CD"/>
    <w:rsid w:val="00D93D6F"/>
    <w:rsid w:val="00D95D2E"/>
    <w:rsid w:val="00D960AC"/>
    <w:rsid w:val="00DA259D"/>
    <w:rsid w:val="00DA60A4"/>
    <w:rsid w:val="00DA700F"/>
    <w:rsid w:val="00DA76FA"/>
    <w:rsid w:val="00DB2B49"/>
    <w:rsid w:val="00DB3050"/>
    <w:rsid w:val="00DB37F4"/>
    <w:rsid w:val="00DB3847"/>
    <w:rsid w:val="00DC1296"/>
    <w:rsid w:val="00DC28FE"/>
    <w:rsid w:val="00DC290C"/>
    <w:rsid w:val="00DC33B4"/>
    <w:rsid w:val="00DC4169"/>
    <w:rsid w:val="00DC5165"/>
    <w:rsid w:val="00DD0620"/>
    <w:rsid w:val="00DD2003"/>
    <w:rsid w:val="00DD2B07"/>
    <w:rsid w:val="00DD37DE"/>
    <w:rsid w:val="00DD4656"/>
    <w:rsid w:val="00DD4E1D"/>
    <w:rsid w:val="00DE4EC6"/>
    <w:rsid w:val="00DE7C08"/>
    <w:rsid w:val="00DF01DF"/>
    <w:rsid w:val="00DF0684"/>
    <w:rsid w:val="00DF2D0B"/>
    <w:rsid w:val="00DF447D"/>
    <w:rsid w:val="00DF4D10"/>
    <w:rsid w:val="00DF6E03"/>
    <w:rsid w:val="00E01479"/>
    <w:rsid w:val="00E018FB"/>
    <w:rsid w:val="00E07806"/>
    <w:rsid w:val="00E104F8"/>
    <w:rsid w:val="00E107E9"/>
    <w:rsid w:val="00E12BC0"/>
    <w:rsid w:val="00E135C8"/>
    <w:rsid w:val="00E17D5B"/>
    <w:rsid w:val="00E21DC0"/>
    <w:rsid w:val="00E30A2F"/>
    <w:rsid w:val="00E34929"/>
    <w:rsid w:val="00E37E95"/>
    <w:rsid w:val="00E4035B"/>
    <w:rsid w:val="00E43B3D"/>
    <w:rsid w:val="00E457DC"/>
    <w:rsid w:val="00E47E6B"/>
    <w:rsid w:val="00E60A8A"/>
    <w:rsid w:val="00E6415F"/>
    <w:rsid w:val="00E6730E"/>
    <w:rsid w:val="00E67395"/>
    <w:rsid w:val="00E6763B"/>
    <w:rsid w:val="00E7058D"/>
    <w:rsid w:val="00E70DFB"/>
    <w:rsid w:val="00E75CE6"/>
    <w:rsid w:val="00E76E5D"/>
    <w:rsid w:val="00E81649"/>
    <w:rsid w:val="00E84055"/>
    <w:rsid w:val="00E94679"/>
    <w:rsid w:val="00E95A03"/>
    <w:rsid w:val="00EA7C29"/>
    <w:rsid w:val="00EB0537"/>
    <w:rsid w:val="00EB0C4D"/>
    <w:rsid w:val="00EB58BD"/>
    <w:rsid w:val="00EC0FFC"/>
    <w:rsid w:val="00EC3B08"/>
    <w:rsid w:val="00EC7184"/>
    <w:rsid w:val="00ED2E33"/>
    <w:rsid w:val="00ED3024"/>
    <w:rsid w:val="00ED4FF3"/>
    <w:rsid w:val="00ED5BFF"/>
    <w:rsid w:val="00ED71B6"/>
    <w:rsid w:val="00ED7753"/>
    <w:rsid w:val="00ED7796"/>
    <w:rsid w:val="00ED7B96"/>
    <w:rsid w:val="00EE0089"/>
    <w:rsid w:val="00EE4B75"/>
    <w:rsid w:val="00EE5474"/>
    <w:rsid w:val="00EF0E10"/>
    <w:rsid w:val="00EF2076"/>
    <w:rsid w:val="00EF2AFB"/>
    <w:rsid w:val="00EF360E"/>
    <w:rsid w:val="00EF3734"/>
    <w:rsid w:val="00EF477D"/>
    <w:rsid w:val="00EF5EEB"/>
    <w:rsid w:val="00F01A00"/>
    <w:rsid w:val="00F04B16"/>
    <w:rsid w:val="00F10B2E"/>
    <w:rsid w:val="00F116A7"/>
    <w:rsid w:val="00F15AE1"/>
    <w:rsid w:val="00F1768E"/>
    <w:rsid w:val="00F20DDC"/>
    <w:rsid w:val="00F25156"/>
    <w:rsid w:val="00F25D0A"/>
    <w:rsid w:val="00F31D67"/>
    <w:rsid w:val="00F33D5C"/>
    <w:rsid w:val="00F3402F"/>
    <w:rsid w:val="00F3416A"/>
    <w:rsid w:val="00F352D9"/>
    <w:rsid w:val="00F431FB"/>
    <w:rsid w:val="00F44AD6"/>
    <w:rsid w:val="00F51040"/>
    <w:rsid w:val="00F53ACB"/>
    <w:rsid w:val="00F5610D"/>
    <w:rsid w:val="00F5754C"/>
    <w:rsid w:val="00F60E46"/>
    <w:rsid w:val="00F6184E"/>
    <w:rsid w:val="00F7794A"/>
    <w:rsid w:val="00F8007E"/>
    <w:rsid w:val="00F81C8A"/>
    <w:rsid w:val="00F84805"/>
    <w:rsid w:val="00F9006B"/>
    <w:rsid w:val="00F90271"/>
    <w:rsid w:val="00F90344"/>
    <w:rsid w:val="00FA0F58"/>
    <w:rsid w:val="00FA1E5D"/>
    <w:rsid w:val="00FA26CF"/>
    <w:rsid w:val="00FA2B02"/>
    <w:rsid w:val="00FA4E2A"/>
    <w:rsid w:val="00FA6BB4"/>
    <w:rsid w:val="00FA7C19"/>
    <w:rsid w:val="00FB1115"/>
    <w:rsid w:val="00FB4AE4"/>
    <w:rsid w:val="00FB5670"/>
    <w:rsid w:val="00FB69C0"/>
    <w:rsid w:val="00FB7209"/>
    <w:rsid w:val="00FC0A10"/>
    <w:rsid w:val="00FC22E3"/>
    <w:rsid w:val="00FC7933"/>
    <w:rsid w:val="00FD624F"/>
    <w:rsid w:val="00FE3269"/>
    <w:rsid w:val="00FE4D0B"/>
    <w:rsid w:val="00FE5306"/>
    <w:rsid w:val="00FE5C2C"/>
    <w:rsid w:val="00FE5F4E"/>
    <w:rsid w:val="00FE7A02"/>
    <w:rsid w:val="00FF11B5"/>
    <w:rsid w:val="00FF5462"/>
    <w:rsid w:val="00FF642B"/>
    <w:rsid w:val="00FF781B"/>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6B4251CC"/>
  <w15:docId w15:val="{CAD3B6BB-00A9-4F12-8B86-27DFD7B0A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before="80" w:after="80"/>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qFormat="1"/>
    <w:lsdException w:name="heading 6" w:unhideWhenUsed="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8" w:unhideWhenUsed="1" w:qFormat="1"/>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unhideWhenUsed="1"/>
    <w:lsdException w:name="macro" w:semiHidden="1"/>
    <w:lsdException w:name="toa heading" w:semiHidden="1"/>
    <w:lsdException w:name="List" w:semiHidden="1"/>
    <w:lsdException w:name="List Bullet" w:semiHidden="1" w:uiPriority="1" w:unhideWhenUsed="1" w:qFormat="1"/>
    <w:lsdException w:name="List Number" w:semiHidden="1" w:uiPriority="0" w:unhideWhenUsed="1" w:qFormat="1"/>
    <w:lsdException w:name="List 2" w:semiHidden="1"/>
    <w:lsdException w:name="List 3" w:semiHidden="1"/>
    <w:lsdException w:name="List 4" w:semiHidden="1"/>
    <w:lsdException w:name="List 5" w:semiHidden="1"/>
    <w:lsdException w:name="List Bullet 2" w:semiHidden="1" w:uiPriority="19" w:unhideWhenUsed="1"/>
    <w:lsdException w:name="List Bullet 3" w:semiHidden="1" w:uiPriority="19" w:unhideWhenUsed="1"/>
    <w:lsdException w:name="List Bullet 4" w:semiHidden="1" w:uiPriority="19" w:unhideWhenUsed="1"/>
    <w:lsdException w:name="List Bullet 5" w:semiHidden="1" w:uiPriority="19" w:unhideWhenUsed="1"/>
    <w:lsdException w:name="List Number 2" w:semiHidden="1" w:uiPriority="4" w:unhideWhenUsed="1" w:qFormat="1"/>
    <w:lsdException w:name="List Number 3" w:semiHidden="1" w:uiPriority="4" w:unhideWhenUsed="1" w:qFormat="1"/>
    <w:lsdException w:name="List Number 4" w:semiHidden="1" w:uiPriority="19" w:unhideWhenUsed="1"/>
    <w:lsdException w:name="List Number 5" w:semiHidden="1" w:uiPriority="19" w:unhideWhenUsed="1"/>
    <w:lsdException w:name="Title" w:uiPriority="9"/>
    <w:lsdException w:name="Closing" w:semiHidden="1"/>
    <w:lsdException w:name="Signature" w:semiHidden="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0"/>
    <w:lsdException w:name="Salutation" w:semiHidden="1"/>
    <w:lsdException w:name="Date" w:semiHidden="1"/>
    <w:lsdException w:name="Body Text First Indent" w:semiHidden="1" w:unhideWhenUsed="1"/>
    <w:lsdException w:name="Body Text First Indent 2" w:semiHidden="1" w:unhideWhenUsed="1"/>
    <w:lsdException w:name="Note Heading" w:semiHidden="1"/>
    <w:lsdException w:name="Body Text 2" w:semiHidden="1"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unhideWhenUsed="1"/>
    <w:lsdException w:name="Strong" w:semiHidden="1"/>
    <w:lsdException w:name="Emphasis" w:semiHidden="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006B"/>
    <w:pPr>
      <w:spacing w:before="0" w:after="0"/>
    </w:pPr>
    <w:rPr>
      <w:sz w:val="20"/>
    </w:rPr>
  </w:style>
  <w:style w:type="paragraph" w:styleId="Heading1">
    <w:name w:val="heading 1"/>
    <w:basedOn w:val="Normal"/>
    <w:next w:val="BodyText"/>
    <w:link w:val="Heading1Char"/>
    <w:qFormat/>
    <w:rsid w:val="001A531B"/>
    <w:pPr>
      <w:keepNext/>
      <w:keepLines/>
      <w:pageBreakBefore/>
      <w:widowControl w:val="0"/>
      <w:numPr>
        <w:numId w:val="16"/>
      </w:numPr>
      <w:spacing w:before="720" w:after="240"/>
      <w:outlineLvl w:val="0"/>
    </w:pPr>
    <w:rPr>
      <w:rFonts w:asciiTheme="majorHAnsi" w:eastAsia="Times New Roman" w:hAnsiTheme="majorHAnsi" w:cs="Arial"/>
      <w:b/>
      <w:bCs/>
      <w:color w:val="41A62A" w:themeColor="accent1"/>
      <w:sz w:val="52"/>
      <w:szCs w:val="32"/>
      <w:lang w:eastAsia="en-AU"/>
    </w:rPr>
  </w:style>
  <w:style w:type="paragraph" w:styleId="Heading2">
    <w:name w:val="heading 2"/>
    <w:basedOn w:val="Normal"/>
    <w:next w:val="BodyText"/>
    <w:link w:val="Heading2Char"/>
    <w:qFormat/>
    <w:rsid w:val="001F15CE"/>
    <w:pPr>
      <w:keepNext/>
      <w:keepLines/>
      <w:numPr>
        <w:ilvl w:val="1"/>
        <w:numId w:val="16"/>
      </w:numPr>
      <w:spacing w:before="320" w:after="240"/>
      <w:outlineLvl w:val="1"/>
    </w:pPr>
    <w:rPr>
      <w:rFonts w:asciiTheme="majorHAnsi" w:eastAsia="Times New Roman" w:hAnsiTheme="majorHAnsi" w:cs="Arial"/>
      <w:b/>
      <w:bCs/>
      <w:iCs/>
      <w:color w:val="4E4E50" w:themeColor="accent2"/>
      <w:sz w:val="36"/>
      <w:szCs w:val="28"/>
      <w:lang w:eastAsia="en-AU"/>
    </w:rPr>
  </w:style>
  <w:style w:type="paragraph" w:styleId="Heading3">
    <w:name w:val="heading 3"/>
    <w:basedOn w:val="Normal"/>
    <w:next w:val="BodyText"/>
    <w:link w:val="Heading3Char"/>
    <w:qFormat/>
    <w:rsid w:val="001F15CE"/>
    <w:pPr>
      <w:keepNext/>
      <w:keepLines/>
      <w:numPr>
        <w:ilvl w:val="2"/>
        <w:numId w:val="16"/>
      </w:numPr>
      <w:spacing w:before="320" w:after="240"/>
      <w:outlineLvl w:val="2"/>
    </w:pPr>
    <w:rPr>
      <w:rFonts w:asciiTheme="majorHAnsi" w:eastAsia="Times New Roman" w:hAnsiTheme="majorHAnsi" w:cs="Times New Roman"/>
      <w:b/>
      <w:bCs/>
      <w:color w:val="4E4E50" w:themeColor="accent2"/>
      <w:sz w:val="30"/>
      <w:szCs w:val="24"/>
      <w:lang w:eastAsia="en-AU"/>
    </w:rPr>
  </w:style>
  <w:style w:type="paragraph" w:styleId="Heading4">
    <w:name w:val="heading 4"/>
    <w:basedOn w:val="Normal"/>
    <w:next w:val="BodyText"/>
    <w:link w:val="Heading4Char"/>
    <w:qFormat/>
    <w:rsid w:val="001A531B"/>
    <w:pPr>
      <w:keepNext/>
      <w:keepLines/>
      <w:spacing w:before="240" w:after="120"/>
      <w:outlineLvl w:val="3"/>
    </w:pPr>
    <w:rPr>
      <w:rFonts w:asciiTheme="majorHAnsi" w:eastAsia="Times New Roman" w:hAnsiTheme="majorHAnsi" w:cs="Times New Roman"/>
      <w:b/>
      <w:bCs/>
      <w:color w:val="41A62A" w:themeColor="accent1"/>
      <w:sz w:val="26"/>
      <w:lang w:eastAsia="en-AU"/>
    </w:rPr>
  </w:style>
  <w:style w:type="paragraph" w:styleId="Heading5">
    <w:name w:val="heading 5"/>
    <w:basedOn w:val="Normal"/>
    <w:next w:val="BodyText"/>
    <w:link w:val="Heading5Char"/>
    <w:qFormat/>
    <w:rsid w:val="00FC7933"/>
    <w:pPr>
      <w:keepNext/>
      <w:keepLines/>
      <w:spacing w:before="240" w:after="120"/>
      <w:outlineLvl w:val="4"/>
    </w:pPr>
    <w:rPr>
      <w:rFonts w:asciiTheme="majorHAnsi" w:eastAsia="Times New Roman" w:hAnsiTheme="majorHAnsi" w:cs="Times New Roman"/>
      <w:b/>
      <w:bCs/>
      <w:iCs/>
      <w:color w:val="4E4E50" w:themeColor="accent2"/>
      <w:sz w:val="22"/>
      <w:szCs w:val="26"/>
      <w:lang w:eastAsia="en-AU"/>
    </w:rPr>
  </w:style>
  <w:style w:type="paragraph" w:styleId="Heading6">
    <w:name w:val="heading 6"/>
    <w:basedOn w:val="Normal"/>
    <w:next w:val="Normal"/>
    <w:link w:val="Heading6Char"/>
    <w:qFormat/>
    <w:rsid w:val="00FC7933"/>
    <w:pPr>
      <w:keepNext/>
      <w:keepLines/>
      <w:spacing w:before="120" w:after="120"/>
      <w:outlineLvl w:val="5"/>
    </w:pPr>
    <w:rPr>
      <w:rFonts w:eastAsia="Times New Roman" w:cs="Times New Roman"/>
      <w:b/>
      <w:bCs/>
      <w:color w:val="A7A9AC"/>
      <w:sz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14pt"/>
    <w:basedOn w:val="Normal"/>
    <w:link w:val="BodyTextChar"/>
    <w:qFormat/>
    <w:rsid w:val="00125BE5"/>
    <w:pPr>
      <w:spacing w:before="120" w:after="120" w:line="260" w:lineRule="atLeast"/>
    </w:pPr>
    <w:rPr>
      <w:rFonts w:eastAsia="Times New Roman" w:cs="Times New Roman"/>
      <w:color w:val="4E4E50" w:themeColor="text2"/>
      <w:szCs w:val="24"/>
      <w:lang w:eastAsia="en-AU"/>
    </w:rPr>
  </w:style>
  <w:style w:type="character" w:customStyle="1" w:styleId="BodyTextChar">
    <w:name w:val="Body Text Char"/>
    <w:aliases w:val="Body Text 14pt Char"/>
    <w:basedOn w:val="DefaultParagraphFont"/>
    <w:link w:val="BodyText"/>
    <w:rsid w:val="00123C94"/>
    <w:rPr>
      <w:rFonts w:eastAsia="Times New Roman" w:cs="Times New Roman"/>
      <w:color w:val="4E4E50" w:themeColor="text2"/>
      <w:sz w:val="20"/>
      <w:szCs w:val="24"/>
      <w:lang w:eastAsia="en-AU"/>
    </w:rPr>
  </w:style>
  <w:style w:type="character" w:customStyle="1" w:styleId="Heading1Char">
    <w:name w:val="Heading 1 Char"/>
    <w:basedOn w:val="DefaultParagraphFont"/>
    <w:link w:val="Heading1"/>
    <w:rsid w:val="001A531B"/>
    <w:rPr>
      <w:rFonts w:asciiTheme="majorHAnsi" w:eastAsia="Times New Roman" w:hAnsiTheme="majorHAnsi" w:cs="Arial"/>
      <w:b/>
      <w:bCs/>
      <w:color w:val="41A62A" w:themeColor="accent1"/>
      <w:sz w:val="52"/>
      <w:szCs w:val="32"/>
      <w:lang w:eastAsia="en-AU"/>
    </w:rPr>
  </w:style>
  <w:style w:type="character" w:customStyle="1" w:styleId="Heading2Char">
    <w:name w:val="Heading 2 Char"/>
    <w:basedOn w:val="DefaultParagraphFont"/>
    <w:link w:val="Heading2"/>
    <w:rsid w:val="00FC7933"/>
    <w:rPr>
      <w:rFonts w:asciiTheme="majorHAnsi" w:eastAsia="Times New Roman" w:hAnsiTheme="majorHAnsi" w:cs="Arial"/>
      <w:b/>
      <w:bCs/>
      <w:iCs/>
      <w:color w:val="4E4E50" w:themeColor="accent2"/>
      <w:sz w:val="36"/>
      <w:szCs w:val="28"/>
      <w:lang w:eastAsia="en-AU"/>
    </w:rPr>
  </w:style>
  <w:style w:type="character" w:customStyle="1" w:styleId="Heading3Char">
    <w:name w:val="Heading 3 Char"/>
    <w:basedOn w:val="DefaultParagraphFont"/>
    <w:link w:val="Heading3"/>
    <w:rsid w:val="00FC7933"/>
    <w:rPr>
      <w:rFonts w:asciiTheme="majorHAnsi" w:eastAsia="Times New Roman" w:hAnsiTheme="majorHAnsi" w:cs="Times New Roman"/>
      <w:b/>
      <w:bCs/>
      <w:color w:val="4E4E50" w:themeColor="accent2"/>
      <w:sz w:val="30"/>
      <w:szCs w:val="24"/>
      <w:lang w:eastAsia="en-AU"/>
    </w:rPr>
  </w:style>
  <w:style w:type="character" w:customStyle="1" w:styleId="Heading4Char">
    <w:name w:val="Heading 4 Char"/>
    <w:basedOn w:val="DefaultParagraphFont"/>
    <w:link w:val="Heading4"/>
    <w:rsid w:val="00FC7933"/>
    <w:rPr>
      <w:rFonts w:asciiTheme="majorHAnsi" w:eastAsia="Times New Roman" w:hAnsiTheme="majorHAnsi" w:cs="Times New Roman"/>
      <w:b/>
      <w:bCs/>
      <w:color w:val="41A62A" w:themeColor="accent1"/>
      <w:sz w:val="26"/>
      <w:lang w:eastAsia="en-AU"/>
    </w:rPr>
  </w:style>
  <w:style w:type="paragraph" w:customStyle="1" w:styleId="AltHeading1">
    <w:name w:val="Alt Heading 1"/>
    <w:basedOn w:val="Heading1"/>
    <w:next w:val="BodyText"/>
    <w:uiPriority w:val="9"/>
    <w:qFormat/>
    <w:rsid w:val="00FC7933"/>
    <w:pPr>
      <w:numPr>
        <w:numId w:val="0"/>
      </w:numPr>
    </w:pPr>
    <w:rPr>
      <w:bCs w:val="0"/>
    </w:rPr>
  </w:style>
  <w:style w:type="paragraph" w:customStyle="1" w:styleId="AltHeading2">
    <w:name w:val="Alt Heading 2"/>
    <w:basedOn w:val="Heading2"/>
    <w:next w:val="BodyText"/>
    <w:uiPriority w:val="9"/>
    <w:qFormat/>
    <w:rsid w:val="00FC7933"/>
    <w:pPr>
      <w:numPr>
        <w:ilvl w:val="0"/>
        <w:numId w:val="0"/>
      </w:numPr>
    </w:pPr>
  </w:style>
  <w:style w:type="paragraph" w:customStyle="1" w:styleId="AltHeading3">
    <w:name w:val="Alt Heading 3"/>
    <w:basedOn w:val="Heading3"/>
    <w:next w:val="BodyText"/>
    <w:uiPriority w:val="9"/>
    <w:qFormat/>
    <w:rsid w:val="00FC7933"/>
    <w:pPr>
      <w:numPr>
        <w:ilvl w:val="0"/>
        <w:numId w:val="0"/>
      </w:numPr>
    </w:pPr>
  </w:style>
  <w:style w:type="paragraph" w:styleId="Title">
    <w:name w:val="Title"/>
    <w:basedOn w:val="Normal"/>
    <w:next w:val="BodyText"/>
    <w:link w:val="TitleChar"/>
    <w:uiPriority w:val="9"/>
    <w:rsid w:val="00877C46"/>
    <w:pPr>
      <w:framePr w:hSpace="181" w:wrap="around" w:hAnchor="margin" w:yAlign="bottom"/>
      <w:spacing w:before="120" w:after="120" w:line="216" w:lineRule="auto"/>
      <w:suppressOverlap/>
    </w:pPr>
    <w:rPr>
      <w:rFonts w:asciiTheme="majorHAnsi" w:eastAsiaTheme="majorEastAsia" w:hAnsiTheme="majorHAnsi" w:cstheme="majorBidi"/>
      <w:b/>
      <w:color w:val="4E4E50" w:themeColor="accent2"/>
      <w:sz w:val="50"/>
      <w:szCs w:val="52"/>
    </w:rPr>
  </w:style>
  <w:style w:type="character" w:customStyle="1" w:styleId="TitleChar">
    <w:name w:val="Title Char"/>
    <w:basedOn w:val="DefaultParagraphFont"/>
    <w:link w:val="Title"/>
    <w:uiPriority w:val="9"/>
    <w:rsid w:val="00877C46"/>
    <w:rPr>
      <w:rFonts w:asciiTheme="majorHAnsi" w:eastAsiaTheme="majorEastAsia" w:hAnsiTheme="majorHAnsi" w:cstheme="majorBidi"/>
      <w:b/>
      <w:color w:val="4E4E50" w:themeColor="accent2"/>
      <w:sz w:val="50"/>
      <w:szCs w:val="52"/>
    </w:rPr>
  </w:style>
  <w:style w:type="paragraph" w:styleId="Subtitle">
    <w:name w:val="Subtitle"/>
    <w:basedOn w:val="Normal"/>
    <w:next w:val="BodyText"/>
    <w:link w:val="SubtitleChar"/>
    <w:uiPriority w:val="10"/>
    <w:rsid w:val="00877C46"/>
    <w:pPr>
      <w:numPr>
        <w:ilvl w:val="1"/>
      </w:numPr>
      <w:spacing w:before="240" w:after="240"/>
    </w:pPr>
    <w:rPr>
      <w:rFonts w:asciiTheme="majorHAnsi" w:eastAsiaTheme="majorEastAsia" w:hAnsiTheme="majorHAnsi" w:cstheme="majorBidi"/>
      <w:iCs/>
      <w:color w:val="4E4E50" w:themeColor="accent2"/>
      <w:sz w:val="28"/>
      <w:szCs w:val="24"/>
    </w:rPr>
  </w:style>
  <w:style w:type="character" w:customStyle="1" w:styleId="SubtitleChar">
    <w:name w:val="Subtitle Char"/>
    <w:basedOn w:val="DefaultParagraphFont"/>
    <w:link w:val="Subtitle"/>
    <w:uiPriority w:val="10"/>
    <w:rsid w:val="00877C46"/>
    <w:rPr>
      <w:rFonts w:asciiTheme="majorHAnsi" w:eastAsiaTheme="majorEastAsia" w:hAnsiTheme="majorHAnsi" w:cstheme="majorBidi"/>
      <w:iCs/>
      <w:color w:val="4E4E50" w:themeColor="accent2"/>
      <w:sz w:val="28"/>
      <w:szCs w:val="24"/>
    </w:rPr>
  </w:style>
  <w:style w:type="paragraph" w:styleId="BodyText2">
    <w:name w:val="Body Text 2"/>
    <w:basedOn w:val="BodyText"/>
    <w:link w:val="BodyText2Char"/>
    <w:uiPriority w:val="99"/>
    <w:semiHidden/>
    <w:qFormat/>
    <w:rsid w:val="00444AE6"/>
    <w:pPr>
      <w:numPr>
        <w:ilvl w:val="1"/>
      </w:numPr>
      <w:tabs>
        <w:tab w:val="left" w:pos="567"/>
      </w:tabs>
    </w:pPr>
  </w:style>
  <w:style w:type="character" w:customStyle="1" w:styleId="BodyText2Char">
    <w:name w:val="Body Text 2 Char"/>
    <w:basedOn w:val="DefaultParagraphFont"/>
    <w:link w:val="BodyText2"/>
    <w:uiPriority w:val="99"/>
    <w:semiHidden/>
    <w:rsid w:val="00444AE6"/>
    <w:rPr>
      <w:rFonts w:eastAsia="Times New Roman" w:cs="Times New Roman"/>
      <w:szCs w:val="24"/>
      <w:lang w:eastAsia="en-AU"/>
    </w:rPr>
  </w:style>
  <w:style w:type="paragraph" w:styleId="Header">
    <w:name w:val="header"/>
    <w:basedOn w:val="Normal"/>
    <w:link w:val="HeaderChar"/>
    <w:uiPriority w:val="99"/>
    <w:rsid w:val="00125BE5"/>
    <w:pPr>
      <w:pBdr>
        <w:bottom w:val="single" w:sz="4" w:space="3" w:color="4E4E50" w:themeColor="accent2"/>
      </w:pBdr>
    </w:pPr>
    <w:rPr>
      <w:caps/>
      <w:color w:val="41A62A" w:themeColor="accent1"/>
      <w:sz w:val="18"/>
    </w:rPr>
  </w:style>
  <w:style w:type="character" w:customStyle="1" w:styleId="HeaderChar">
    <w:name w:val="Header Char"/>
    <w:basedOn w:val="DefaultParagraphFont"/>
    <w:link w:val="Header"/>
    <w:uiPriority w:val="99"/>
    <w:rsid w:val="00125BE5"/>
    <w:rPr>
      <w:caps/>
      <w:color w:val="41A62A" w:themeColor="accent1"/>
      <w:sz w:val="18"/>
    </w:rPr>
  </w:style>
  <w:style w:type="paragraph" w:styleId="Footer">
    <w:name w:val="footer"/>
    <w:basedOn w:val="Normal"/>
    <w:link w:val="FooterChar"/>
    <w:uiPriority w:val="99"/>
    <w:rsid w:val="00125BE5"/>
    <w:pPr>
      <w:tabs>
        <w:tab w:val="right" w:pos="9639"/>
      </w:tabs>
      <w:spacing w:before="60"/>
    </w:pPr>
    <w:rPr>
      <w:color w:val="4E4E50" w:themeColor="text2"/>
      <w:sz w:val="18"/>
    </w:rPr>
  </w:style>
  <w:style w:type="character" w:customStyle="1" w:styleId="FooterChar">
    <w:name w:val="Footer Char"/>
    <w:basedOn w:val="DefaultParagraphFont"/>
    <w:link w:val="Footer"/>
    <w:uiPriority w:val="99"/>
    <w:rsid w:val="00125BE5"/>
    <w:rPr>
      <w:color w:val="4E4E50" w:themeColor="text2"/>
      <w:sz w:val="18"/>
    </w:rPr>
  </w:style>
  <w:style w:type="paragraph" w:styleId="ListNumber0">
    <w:name w:val="List Number"/>
    <w:aliases w:val="Numbered level 1"/>
    <w:basedOn w:val="BodyText"/>
    <w:uiPriority w:val="2"/>
    <w:qFormat/>
    <w:rsid w:val="00D00835"/>
    <w:pPr>
      <w:numPr>
        <w:numId w:val="10"/>
      </w:numPr>
    </w:pPr>
  </w:style>
  <w:style w:type="paragraph" w:styleId="ListBullet0">
    <w:name w:val="List Bullet"/>
    <w:basedOn w:val="BodyText"/>
    <w:uiPriority w:val="1"/>
    <w:qFormat/>
    <w:rsid w:val="000A0F7A"/>
    <w:pPr>
      <w:numPr>
        <w:numId w:val="11"/>
      </w:numPr>
    </w:pPr>
  </w:style>
  <w:style w:type="paragraph" w:styleId="TOCHeading">
    <w:name w:val="TOC Heading"/>
    <w:basedOn w:val="Heading1"/>
    <w:next w:val="Normal"/>
    <w:uiPriority w:val="39"/>
    <w:rsid w:val="00123C94"/>
    <w:pPr>
      <w:numPr>
        <w:numId w:val="0"/>
      </w:numPr>
      <w:spacing w:before="0" w:after="600"/>
    </w:pPr>
    <w:rPr>
      <w:sz w:val="67"/>
    </w:rPr>
  </w:style>
  <w:style w:type="character" w:styleId="Hyperlink">
    <w:name w:val="Hyperlink"/>
    <w:basedOn w:val="DefaultParagraphFont"/>
    <w:uiPriority w:val="99"/>
    <w:rsid w:val="004709CC"/>
    <w:rPr>
      <w:color w:val="41A62A" w:themeColor="accent1"/>
      <w:u w:val="single"/>
    </w:rPr>
  </w:style>
  <w:style w:type="paragraph" w:styleId="TOC1">
    <w:name w:val="toc 1"/>
    <w:basedOn w:val="Normal"/>
    <w:next w:val="Normal"/>
    <w:uiPriority w:val="39"/>
    <w:rsid w:val="00123C94"/>
    <w:pPr>
      <w:keepNext/>
      <w:tabs>
        <w:tab w:val="right" w:pos="8222"/>
      </w:tabs>
      <w:spacing w:before="240" w:after="60"/>
      <w:ind w:right="1871"/>
    </w:pPr>
    <w:rPr>
      <w:b/>
      <w:caps/>
      <w:color w:val="41A62A" w:themeColor="accent1"/>
      <w:sz w:val="19"/>
      <w:lang w:eastAsia="en-AU"/>
    </w:rPr>
  </w:style>
  <w:style w:type="paragraph" w:styleId="TOC2">
    <w:name w:val="toc 2"/>
    <w:basedOn w:val="Normal"/>
    <w:next w:val="Normal"/>
    <w:uiPriority w:val="39"/>
    <w:rsid w:val="00123C94"/>
    <w:pPr>
      <w:tabs>
        <w:tab w:val="right" w:pos="8222"/>
      </w:tabs>
      <w:spacing w:before="80" w:after="80"/>
    </w:pPr>
    <w:rPr>
      <w:color w:val="4E4E50" w:themeColor="accent2"/>
      <w:sz w:val="19"/>
    </w:rPr>
  </w:style>
  <w:style w:type="paragraph" w:styleId="TOC3">
    <w:name w:val="toc 3"/>
    <w:basedOn w:val="Normal"/>
    <w:next w:val="Normal"/>
    <w:uiPriority w:val="39"/>
    <w:rsid w:val="00123C94"/>
    <w:pPr>
      <w:tabs>
        <w:tab w:val="right" w:pos="8222"/>
      </w:tabs>
      <w:spacing w:before="80" w:after="80"/>
    </w:pPr>
    <w:rPr>
      <w:color w:val="4E4E50" w:themeColor="accent2"/>
      <w:sz w:val="19"/>
    </w:rPr>
  </w:style>
  <w:style w:type="table" w:styleId="TableGrid">
    <w:name w:val="Table Grid"/>
    <w:basedOn w:val="TableNormal"/>
    <w:rsid w:val="0013189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tcMar>
        <w:left w:w="0" w:type="dxa"/>
        <w:right w:w="0" w:type="dxa"/>
      </w:tcMar>
    </w:tcPr>
  </w:style>
  <w:style w:type="table" w:customStyle="1" w:styleId="GreenLinedTable">
    <w:name w:val="Green Lined Table"/>
    <w:basedOn w:val="TableGrid"/>
    <w:uiPriority w:val="99"/>
    <w:rsid w:val="00F9006B"/>
    <w:tblPr>
      <w:tblStyleRowBandSize w:val="1"/>
      <w:tblStyleColBandSize w:val="1"/>
      <w:tblBorders>
        <w:top w:val="single" w:sz="4" w:space="0" w:color="4E4E50" w:themeColor="accent2"/>
        <w:left w:val="none" w:sz="0" w:space="0" w:color="auto"/>
        <w:bottom w:val="single" w:sz="4" w:space="0" w:color="4E4E50" w:themeColor="accent2"/>
        <w:right w:val="none" w:sz="0" w:space="0" w:color="auto"/>
        <w:insideH w:val="single" w:sz="4" w:space="0" w:color="4E4E50" w:themeColor="accent2"/>
        <w:insideV w:val="none" w:sz="0" w:space="0" w:color="auto"/>
      </w:tblBorders>
    </w:tblPr>
    <w:tblStylePr w:type="firstRow">
      <w:rPr>
        <w:color w:val="4E4E50" w:themeColor="accent2"/>
      </w:rPr>
      <w:tblPr/>
      <w:tcPr>
        <w:tcBorders>
          <w:top w:val="nil"/>
          <w:left w:val="nil"/>
          <w:bottom w:val="nil"/>
          <w:right w:val="nil"/>
          <w:insideH w:val="nil"/>
          <w:insideV w:val="nil"/>
          <w:tl2br w:val="nil"/>
          <w:tr2bl w:val="nil"/>
        </w:tcBorders>
        <w:shd w:val="clear" w:color="auto" w:fill="B3DBAA" w:themeFill="accent3"/>
      </w:tcPr>
    </w:tblStylePr>
    <w:tblStylePr w:type="lastRow">
      <w:rPr>
        <w:b/>
      </w:rPr>
      <w:tblPr/>
      <w:tcPr>
        <w:shd w:val="clear" w:color="auto" w:fill="F2F2F2" w:themeFill="background1" w:themeFillShade="F2"/>
      </w:tcPr>
    </w:tblStylePr>
    <w:tblStylePr w:type="firstCol">
      <w:rPr>
        <w:color w:val="4E4E50" w:themeColor="accent2"/>
      </w:rPr>
      <w:tblPr/>
      <w:tcPr>
        <w:tcBorders>
          <w:insideH w:val="single" w:sz="4" w:space="0" w:color="4E4E50" w:themeColor="accent2"/>
        </w:tcBorders>
        <w:shd w:val="clear" w:color="auto" w:fill="B3DBAA" w:themeFill="accent3"/>
      </w:tcPr>
    </w:tblStylePr>
    <w:tblStylePr w:type="lastCol">
      <w:tblPr/>
      <w:tcPr>
        <w:shd w:val="clear" w:color="auto" w:fill="F2F2F2" w:themeFill="background1" w:themeFillShade="F2"/>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TableText">
    <w:name w:val="Table Text"/>
    <w:basedOn w:val="Normal"/>
    <w:link w:val="TableTextChar"/>
    <w:uiPriority w:val="3"/>
    <w:qFormat/>
    <w:rsid w:val="00125BE5"/>
    <w:pPr>
      <w:spacing w:before="80" w:after="80"/>
      <w:ind w:left="113" w:right="113"/>
    </w:pPr>
    <w:rPr>
      <w:color w:val="4E4E50" w:themeColor="text2"/>
    </w:rPr>
  </w:style>
  <w:style w:type="paragraph" w:customStyle="1" w:styleId="TableBullet">
    <w:name w:val="Table Bullet"/>
    <w:basedOn w:val="TableText"/>
    <w:uiPriority w:val="4"/>
    <w:qFormat/>
    <w:rsid w:val="00DC5165"/>
    <w:pPr>
      <w:numPr>
        <w:numId w:val="12"/>
      </w:numPr>
    </w:pPr>
    <w:rPr>
      <w:rFonts w:eastAsia="Times New Roman" w:cs="Times New Roman"/>
      <w:szCs w:val="24"/>
      <w:lang w:eastAsia="en-AU"/>
    </w:rPr>
  </w:style>
  <w:style w:type="paragraph" w:customStyle="1" w:styleId="TableNumber">
    <w:name w:val="Table Number"/>
    <w:basedOn w:val="TableText"/>
    <w:uiPriority w:val="4"/>
    <w:qFormat/>
    <w:rsid w:val="002C6885"/>
    <w:pPr>
      <w:numPr>
        <w:numId w:val="19"/>
      </w:numPr>
    </w:pPr>
  </w:style>
  <w:style w:type="character" w:customStyle="1" w:styleId="Heading5Char">
    <w:name w:val="Heading 5 Char"/>
    <w:basedOn w:val="DefaultParagraphFont"/>
    <w:link w:val="Heading5"/>
    <w:rsid w:val="00FC7933"/>
    <w:rPr>
      <w:rFonts w:asciiTheme="majorHAnsi" w:eastAsia="Times New Roman" w:hAnsiTheme="majorHAnsi" w:cs="Times New Roman"/>
      <w:b/>
      <w:bCs/>
      <w:iCs/>
      <w:color w:val="4E4E50" w:themeColor="accent2"/>
      <w:szCs w:val="26"/>
      <w:lang w:eastAsia="en-AU"/>
    </w:rPr>
  </w:style>
  <w:style w:type="character" w:customStyle="1" w:styleId="Heading6Char">
    <w:name w:val="Heading 6 Char"/>
    <w:basedOn w:val="DefaultParagraphFont"/>
    <w:link w:val="Heading6"/>
    <w:rsid w:val="00FC7933"/>
    <w:rPr>
      <w:rFonts w:eastAsia="Times New Roman" w:cs="Times New Roman"/>
      <w:b/>
      <w:bCs/>
      <w:color w:val="A7A9AC"/>
      <w:lang w:eastAsia="en-AU"/>
    </w:rPr>
  </w:style>
  <w:style w:type="paragraph" w:styleId="BodyText3">
    <w:name w:val="Body Text 3"/>
    <w:basedOn w:val="BodyText"/>
    <w:link w:val="BodyText3Char"/>
    <w:uiPriority w:val="99"/>
    <w:semiHidden/>
    <w:qFormat/>
    <w:rsid w:val="00444AE6"/>
    <w:pPr>
      <w:numPr>
        <w:ilvl w:val="2"/>
      </w:numPr>
    </w:pPr>
    <w:rPr>
      <w:szCs w:val="16"/>
    </w:rPr>
  </w:style>
  <w:style w:type="character" w:customStyle="1" w:styleId="BodyText3Char">
    <w:name w:val="Body Text 3 Char"/>
    <w:basedOn w:val="DefaultParagraphFont"/>
    <w:link w:val="BodyText3"/>
    <w:uiPriority w:val="99"/>
    <w:semiHidden/>
    <w:rsid w:val="00444AE6"/>
    <w:rPr>
      <w:rFonts w:eastAsia="Times New Roman" w:cs="Times New Roman"/>
      <w:szCs w:val="16"/>
      <w:lang w:eastAsia="en-AU"/>
    </w:rPr>
  </w:style>
  <w:style w:type="paragraph" w:styleId="ListParagraph0">
    <w:name w:val="List Paragraph"/>
    <w:basedOn w:val="BodyText"/>
    <w:uiPriority w:val="34"/>
    <w:qFormat/>
    <w:rsid w:val="00D00835"/>
    <w:pPr>
      <w:numPr>
        <w:numId w:val="8"/>
      </w:numPr>
    </w:pPr>
  </w:style>
  <w:style w:type="paragraph" w:styleId="TOC4">
    <w:name w:val="toc 4"/>
    <w:basedOn w:val="TOC1"/>
    <w:next w:val="Normal"/>
    <w:uiPriority w:val="39"/>
    <w:rsid w:val="00DF4D10"/>
    <w:pPr>
      <w:tabs>
        <w:tab w:val="left" w:pos="1134"/>
      </w:tabs>
      <w:ind w:left="1134" w:hanging="1134"/>
    </w:pPr>
  </w:style>
  <w:style w:type="table" w:customStyle="1" w:styleId="GreyShadedTable">
    <w:name w:val="Grey Shaded Table"/>
    <w:basedOn w:val="TableGrid"/>
    <w:uiPriority w:val="99"/>
    <w:rsid w:val="00F9006B"/>
    <w:pPr>
      <w:spacing w:before="0"/>
    </w:pPr>
    <w:tblPr>
      <w:tblStyleRowBandSize w:val="1"/>
      <w:tblStyleColBandSize w:val="1"/>
      <w:tblBorders>
        <w:top w:val="single" w:sz="4" w:space="0" w:color="41A62A" w:themeColor="accent1"/>
        <w:left w:val="none" w:sz="0" w:space="0" w:color="auto"/>
        <w:bottom w:val="single" w:sz="4" w:space="0" w:color="41A62A" w:themeColor="accent1"/>
        <w:right w:val="none" w:sz="0" w:space="0" w:color="auto"/>
        <w:insideH w:val="single" w:sz="4" w:space="0" w:color="41A62A" w:themeColor="accent1"/>
        <w:insideV w:val="none" w:sz="0" w:space="0" w:color="auto"/>
      </w:tblBorders>
    </w:tblPr>
    <w:tblStylePr w:type="firstRow">
      <w:rPr>
        <w:color w:val="FFFFFF" w:themeColor="background1"/>
      </w:rPr>
      <w:tblPr/>
      <w:tcPr>
        <w:tcBorders>
          <w:top w:val="nil"/>
          <w:left w:val="nil"/>
          <w:bottom w:val="nil"/>
          <w:right w:val="nil"/>
          <w:insideH w:val="nil"/>
          <w:insideV w:val="nil"/>
          <w:tl2br w:val="nil"/>
          <w:tr2bl w:val="nil"/>
        </w:tcBorders>
        <w:shd w:val="clear" w:color="auto" w:fill="4E4E50" w:themeFill="accent2"/>
      </w:tcPr>
    </w:tblStylePr>
    <w:tblStylePr w:type="lastRow">
      <w:rPr>
        <w:color w:val="4E4E50" w:themeColor="accent2"/>
      </w:rPr>
      <w:tblPr/>
      <w:tcPr>
        <w:shd w:val="clear" w:color="auto" w:fill="F2F2F2" w:themeFill="background1" w:themeFillShade="F2"/>
      </w:tcPr>
    </w:tblStylePr>
    <w:tblStylePr w:type="firstCol">
      <w:rPr>
        <w:color w:val="4E4E50" w:themeColor="text2"/>
      </w:rPr>
      <w:tblPr/>
      <w:tcPr>
        <w:shd w:val="clear" w:color="auto" w:fill="F3F4F4"/>
      </w:tcPr>
    </w:tblStylePr>
    <w:tblStylePr w:type="lastCol">
      <w:tblPr/>
      <w:tcPr>
        <w:shd w:val="clear" w:color="auto" w:fill="F2F2F2" w:themeFill="background1" w:themeFillShade="F2"/>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table" w:customStyle="1" w:styleId="GreenShadedTable">
    <w:name w:val="Green Shaded Table"/>
    <w:basedOn w:val="TableGrid"/>
    <w:uiPriority w:val="99"/>
    <w:rsid w:val="00F9006B"/>
    <w:pPr>
      <w:spacing w:before="0"/>
    </w:pPr>
    <w:tblPr>
      <w:tblStyleRowBandSize w:val="1"/>
      <w:tblStyleColBandSize w:val="1"/>
      <w:tblBorders>
        <w:top w:val="single" w:sz="4" w:space="0" w:color="4E4E50" w:themeColor="accent2"/>
        <w:left w:val="none" w:sz="0" w:space="0" w:color="auto"/>
        <w:bottom w:val="single" w:sz="4" w:space="0" w:color="4E4E50" w:themeColor="accent2"/>
        <w:right w:val="none" w:sz="0" w:space="0" w:color="auto"/>
        <w:insideH w:val="single" w:sz="4" w:space="0" w:color="4E4E50" w:themeColor="accent2"/>
        <w:insideV w:val="none" w:sz="0" w:space="0" w:color="auto"/>
      </w:tblBorders>
    </w:tblPr>
    <w:tcPr>
      <w:shd w:val="clear" w:color="auto" w:fill="auto"/>
    </w:tcPr>
    <w:tblStylePr w:type="firstRow">
      <w:rPr>
        <w:color w:val="4E4E50" w:themeColor="text2"/>
      </w:rPr>
      <w:tblPr/>
      <w:tcPr>
        <w:tcBorders>
          <w:top w:val="nil"/>
        </w:tcBorders>
        <w:shd w:val="clear" w:color="auto" w:fill="B3DBAA" w:themeFill="accent3"/>
      </w:tcPr>
    </w:tblStylePr>
    <w:tblStylePr w:type="lastRow">
      <w:rPr>
        <w:b/>
      </w:rPr>
      <w:tblPr/>
      <w:tcPr>
        <w:shd w:val="clear" w:color="auto" w:fill="F2F2F2" w:themeFill="background1" w:themeFillShade="F2"/>
      </w:tcPr>
    </w:tblStylePr>
    <w:tblStylePr w:type="firstCol">
      <w:tblPr/>
      <w:tcPr>
        <w:shd w:val="clear" w:color="auto" w:fill="F3F4F4"/>
      </w:tcPr>
    </w:tblStylePr>
    <w:tblStylePr w:type="lastCol">
      <w:tblPr/>
      <w:tcPr>
        <w:shd w:val="clear" w:color="auto" w:fill="F2F2F2" w:themeFill="background1" w:themeFillShade="F2"/>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styleId="BalloonText">
    <w:name w:val="Balloon Text"/>
    <w:basedOn w:val="Normal"/>
    <w:link w:val="BalloonTextChar"/>
    <w:uiPriority w:val="99"/>
    <w:semiHidden/>
    <w:rsid w:val="00E21DC0"/>
    <w:rPr>
      <w:rFonts w:ascii="Tahoma" w:hAnsi="Tahoma" w:cs="Tahoma"/>
      <w:sz w:val="16"/>
      <w:szCs w:val="16"/>
    </w:rPr>
  </w:style>
  <w:style w:type="character" w:customStyle="1" w:styleId="BalloonTextChar">
    <w:name w:val="Balloon Text Char"/>
    <w:basedOn w:val="DefaultParagraphFont"/>
    <w:link w:val="BalloonText"/>
    <w:uiPriority w:val="99"/>
    <w:semiHidden/>
    <w:rsid w:val="00E21DC0"/>
    <w:rPr>
      <w:rFonts w:ascii="Tahoma" w:hAnsi="Tahoma" w:cs="Tahoma"/>
      <w:sz w:val="16"/>
      <w:szCs w:val="16"/>
    </w:rPr>
  </w:style>
  <w:style w:type="paragraph" w:styleId="Quote">
    <w:name w:val="Quote"/>
    <w:basedOn w:val="Normal"/>
    <w:next w:val="Normal"/>
    <w:link w:val="QuoteChar"/>
    <w:uiPriority w:val="99"/>
    <w:semiHidden/>
    <w:qFormat/>
    <w:rsid w:val="00076F97"/>
    <w:pPr>
      <w:spacing w:before="180" w:after="180"/>
      <w:ind w:left="567" w:right="567"/>
      <w:jc w:val="center"/>
    </w:pPr>
    <w:rPr>
      <w:i/>
      <w:iCs/>
      <w:color w:val="000000" w:themeColor="text1"/>
    </w:rPr>
  </w:style>
  <w:style w:type="character" w:customStyle="1" w:styleId="QuoteChar">
    <w:name w:val="Quote Char"/>
    <w:basedOn w:val="DefaultParagraphFont"/>
    <w:link w:val="Quote"/>
    <w:uiPriority w:val="99"/>
    <w:semiHidden/>
    <w:rsid w:val="00DF0684"/>
    <w:rPr>
      <w:i/>
      <w:iCs/>
      <w:color w:val="000000" w:themeColor="text1"/>
      <w:sz w:val="20"/>
    </w:rPr>
  </w:style>
  <w:style w:type="table" w:customStyle="1" w:styleId="GreyLinedTable">
    <w:name w:val="Grey Lined Table"/>
    <w:basedOn w:val="TableGrid"/>
    <w:uiPriority w:val="99"/>
    <w:rsid w:val="00F9006B"/>
    <w:pPr>
      <w:spacing w:before="0"/>
    </w:pPr>
    <w:tblPr>
      <w:tblStyleRowBandSize w:val="1"/>
      <w:tblStyleColBandSize w:val="1"/>
      <w:tblBorders>
        <w:top w:val="single" w:sz="4" w:space="0" w:color="4E4E50" w:themeColor="accent2"/>
        <w:left w:val="none" w:sz="0" w:space="0" w:color="auto"/>
        <w:bottom w:val="single" w:sz="4" w:space="0" w:color="4E4E50" w:themeColor="accent2"/>
        <w:right w:val="none" w:sz="0" w:space="0" w:color="auto"/>
        <w:insideH w:val="single" w:sz="4" w:space="0" w:color="4E4E50" w:themeColor="accent2"/>
        <w:insideV w:val="none" w:sz="0" w:space="0" w:color="auto"/>
      </w:tblBorders>
    </w:tblPr>
    <w:tblStylePr w:type="firstRow">
      <w:rPr>
        <w:color w:val="FFFFFF" w:themeColor="background1"/>
      </w:rPr>
      <w:tblPr/>
      <w:tcPr>
        <w:shd w:val="clear" w:color="auto" w:fill="4E4E50" w:themeFill="accent2"/>
      </w:tcPr>
    </w:tblStylePr>
    <w:tblStylePr w:type="lastRow">
      <w:rPr>
        <w:b/>
        <w:color w:val="4E4E50" w:themeColor="accent2"/>
      </w:rPr>
      <w:tblPr/>
      <w:tcPr>
        <w:shd w:val="clear" w:color="auto" w:fill="F2F2F2" w:themeFill="background1" w:themeFillShade="F2"/>
      </w:tcPr>
    </w:tblStylePr>
    <w:tblStylePr w:type="firstCol">
      <w:rPr>
        <w:color w:val="FFFFFF" w:themeColor="background1"/>
      </w:rPr>
      <w:tblPr/>
      <w:tcPr>
        <w:tcBorders>
          <w:insideH w:val="single" w:sz="4" w:space="0" w:color="4E4E50" w:themeColor="accent2"/>
        </w:tcBorders>
        <w:shd w:val="clear" w:color="auto" w:fill="4E4E50" w:themeFill="accent2"/>
      </w:tcPr>
    </w:tblStylePr>
    <w:tblStylePr w:type="lastCol">
      <w:tblPr/>
      <w:tcPr>
        <w:shd w:val="clear" w:color="auto" w:fill="F2F2F2" w:themeFill="background1" w:themeFillShade="F2"/>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TableCaption">
    <w:name w:val="Table Caption"/>
    <w:basedOn w:val="Caption"/>
    <w:uiPriority w:val="8"/>
    <w:qFormat/>
    <w:rsid w:val="00FE7A02"/>
  </w:style>
  <w:style w:type="paragraph" w:customStyle="1" w:styleId="FigureStyle">
    <w:name w:val="Figure Style"/>
    <w:basedOn w:val="BodyText"/>
    <w:uiPriority w:val="8"/>
    <w:qFormat/>
    <w:rsid w:val="00FA7C19"/>
    <w:pPr>
      <w:spacing w:after="240" w:line="240" w:lineRule="auto"/>
    </w:pPr>
  </w:style>
  <w:style w:type="paragraph" w:styleId="TOC5">
    <w:name w:val="toc 5"/>
    <w:basedOn w:val="TOC2"/>
    <w:next w:val="Normal"/>
    <w:uiPriority w:val="39"/>
    <w:rsid w:val="00DF4D10"/>
    <w:pPr>
      <w:tabs>
        <w:tab w:val="left" w:pos="1134"/>
      </w:tabs>
      <w:ind w:left="1134" w:hanging="1134"/>
    </w:pPr>
  </w:style>
  <w:style w:type="paragraph" w:styleId="TOC6">
    <w:name w:val="toc 6"/>
    <w:basedOn w:val="TOC3"/>
    <w:next w:val="Normal"/>
    <w:uiPriority w:val="39"/>
    <w:rsid w:val="00337CA6"/>
    <w:pPr>
      <w:tabs>
        <w:tab w:val="left" w:pos="1134"/>
      </w:tabs>
      <w:ind w:left="1134" w:hanging="1134"/>
    </w:pPr>
    <w:rPr>
      <w:noProof/>
    </w:rPr>
  </w:style>
  <w:style w:type="paragraph" w:styleId="TOC7">
    <w:name w:val="toc 7"/>
    <w:basedOn w:val="TOC2"/>
    <w:next w:val="Normal"/>
    <w:uiPriority w:val="39"/>
    <w:semiHidden/>
    <w:rsid w:val="003B4DCF"/>
    <w:pPr>
      <w:spacing w:after="60"/>
    </w:pPr>
    <w:rPr>
      <w:sz w:val="16"/>
    </w:rPr>
  </w:style>
  <w:style w:type="paragraph" w:styleId="TOC8">
    <w:name w:val="toc 8"/>
    <w:basedOn w:val="Normal"/>
    <w:next w:val="Normal"/>
    <w:uiPriority w:val="39"/>
    <w:semiHidden/>
    <w:rsid w:val="003B4DCF"/>
    <w:pPr>
      <w:tabs>
        <w:tab w:val="left" w:pos="851"/>
        <w:tab w:val="right" w:pos="9639"/>
      </w:tabs>
      <w:spacing w:after="60"/>
      <w:ind w:left="851" w:hanging="851"/>
    </w:pPr>
    <w:rPr>
      <w:sz w:val="16"/>
    </w:rPr>
  </w:style>
  <w:style w:type="paragraph" w:styleId="TOC9">
    <w:name w:val="toc 9"/>
    <w:basedOn w:val="Normal"/>
    <w:next w:val="Normal"/>
    <w:uiPriority w:val="39"/>
    <w:rsid w:val="00CD274F"/>
    <w:pPr>
      <w:tabs>
        <w:tab w:val="left" w:pos="425"/>
      </w:tabs>
      <w:spacing w:before="180" w:after="180"/>
      <w:ind w:left="425" w:hanging="425"/>
    </w:pPr>
    <w:rPr>
      <w:color w:val="FFFFFF" w:themeColor="background1"/>
    </w:rPr>
  </w:style>
  <w:style w:type="numbering" w:customStyle="1" w:styleId="ListNumber">
    <w:name w:val="List_Number"/>
    <w:uiPriority w:val="99"/>
    <w:rsid w:val="00D00835"/>
    <w:pPr>
      <w:numPr>
        <w:numId w:val="3"/>
      </w:numPr>
    </w:pPr>
  </w:style>
  <w:style w:type="numbering" w:customStyle="1" w:styleId="ListParagraph">
    <w:name w:val="List_Paragraph"/>
    <w:uiPriority w:val="99"/>
    <w:rsid w:val="00D00835"/>
    <w:pPr>
      <w:numPr>
        <w:numId w:val="5"/>
      </w:numPr>
    </w:pPr>
  </w:style>
  <w:style w:type="paragraph" w:styleId="Caption">
    <w:name w:val="caption"/>
    <w:basedOn w:val="Normal"/>
    <w:next w:val="Normal"/>
    <w:uiPriority w:val="8"/>
    <w:qFormat/>
    <w:rsid w:val="00A573B6"/>
    <w:pPr>
      <w:keepNext/>
      <w:tabs>
        <w:tab w:val="left" w:pos="1134"/>
      </w:tabs>
      <w:spacing w:before="240" w:after="120"/>
      <w:ind w:left="1134" w:hanging="1134"/>
    </w:pPr>
    <w:rPr>
      <w:b/>
      <w:color w:val="4E4E50" w:themeColor="accent2"/>
      <w:sz w:val="22"/>
    </w:rPr>
  </w:style>
  <w:style w:type="paragraph" w:customStyle="1" w:styleId="ListAlpha0">
    <w:name w:val="List Alpha"/>
    <w:basedOn w:val="BodyText"/>
    <w:uiPriority w:val="2"/>
    <w:qFormat/>
    <w:rsid w:val="00D00835"/>
    <w:pPr>
      <w:numPr>
        <w:numId w:val="9"/>
      </w:numPr>
    </w:pPr>
  </w:style>
  <w:style w:type="numbering" w:customStyle="1" w:styleId="ListAlpha">
    <w:name w:val="List_Alpha"/>
    <w:uiPriority w:val="99"/>
    <w:rsid w:val="00D00835"/>
    <w:pPr>
      <w:numPr>
        <w:numId w:val="1"/>
      </w:numPr>
    </w:pPr>
  </w:style>
  <w:style w:type="paragraph" w:styleId="TableofAuthorities">
    <w:name w:val="table of authorities"/>
    <w:basedOn w:val="Normal"/>
    <w:next w:val="Normal"/>
    <w:uiPriority w:val="99"/>
    <w:semiHidden/>
    <w:rsid w:val="00E018FB"/>
    <w:pPr>
      <w:ind w:left="200" w:hanging="200"/>
    </w:pPr>
  </w:style>
  <w:style w:type="paragraph" w:styleId="TableofFigures">
    <w:name w:val="table of figures"/>
    <w:basedOn w:val="TOC3"/>
    <w:next w:val="Normal"/>
    <w:uiPriority w:val="99"/>
    <w:rsid w:val="002F504F"/>
    <w:pPr>
      <w:tabs>
        <w:tab w:val="left" w:pos="1134"/>
      </w:tabs>
      <w:ind w:left="1134" w:hanging="1134"/>
    </w:pPr>
    <w:rPr>
      <w:noProof/>
    </w:rPr>
  </w:style>
  <w:style w:type="table" w:customStyle="1" w:styleId="GreenGridTable">
    <w:name w:val="Green Grid Table"/>
    <w:basedOn w:val="TableGrid"/>
    <w:uiPriority w:val="99"/>
    <w:rsid w:val="001F15CE"/>
    <w:pPr>
      <w:spacing w:before="0"/>
      <w:ind w:left="113" w:right="113"/>
    </w:pPr>
    <w:tblPr>
      <w:tblStyleRowBandSize w:val="1"/>
      <w:tblStyleColBandSize w:val="1"/>
      <w:tblBorders>
        <w:top w:val="single" w:sz="4" w:space="0" w:color="B3DBAA" w:themeColor="accent3"/>
        <w:left w:val="single" w:sz="4" w:space="0" w:color="B3DBAA" w:themeColor="accent3"/>
        <w:bottom w:val="single" w:sz="4" w:space="0" w:color="B3DBAA" w:themeColor="accent3"/>
        <w:right w:val="single" w:sz="4" w:space="0" w:color="B3DBAA" w:themeColor="accent3"/>
        <w:insideH w:val="single" w:sz="4" w:space="0" w:color="B3DBAA" w:themeColor="accent3"/>
        <w:insideV w:val="single" w:sz="4" w:space="0" w:color="B3DBAA" w:themeColor="accent3"/>
      </w:tblBorders>
    </w:tblPr>
    <w:tcPr>
      <w:shd w:val="clear" w:color="auto" w:fill="auto"/>
    </w:tcPr>
    <w:tblStylePr w:type="firstRow">
      <w:rPr>
        <w:color w:val="4E4E50" w:themeColor="text2"/>
      </w:rPr>
      <w:tblPr/>
      <w:tcPr>
        <w:tcBorders>
          <w:top w:val="single" w:sz="4" w:space="0" w:color="B3DBAA" w:themeColor="accent3"/>
          <w:left w:val="single" w:sz="4" w:space="0" w:color="B3DBAA" w:themeColor="accent3"/>
          <w:bottom w:val="single" w:sz="4" w:space="0" w:color="B3DBAA" w:themeColor="accent3"/>
          <w:right w:val="single" w:sz="4" w:space="0" w:color="B3DBAA" w:themeColor="accent3"/>
          <w:insideH w:val="single" w:sz="4" w:space="0" w:color="B3DBAA" w:themeColor="accent3"/>
          <w:insideV w:val="single" w:sz="4" w:space="0" w:color="B3DBAA" w:themeColor="accent3"/>
        </w:tcBorders>
        <w:shd w:val="clear" w:color="auto" w:fill="B3DBAA" w:themeFill="accent3"/>
      </w:tcPr>
    </w:tblStylePr>
    <w:tblStylePr w:type="lastRow">
      <w:rPr>
        <w:b/>
      </w:rPr>
      <w:tblPr/>
      <w:tcPr>
        <w:shd w:val="clear" w:color="auto" w:fill="F2F2F2" w:themeFill="background1" w:themeFillShade="F2"/>
      </w:tcPr>
    </w:tblStylePr>
    <w:tblStylePr w:type="firstCol">
      <w:rPr>
        <w:color w:val="4E4E50" w:themeColor="text2"/>
      </w:rPr>
      <w:tblPr/>
      <w:tcPr>
        <w:tcBorders>
          <w:top w:val="single" w:sz="4" w:space="0" w:color="B3DBAA" w:themeColor="accent3"/>
          <w:left w:val="single" w:sz="4" w:space="0" w:color="B3DBAA" w:themeColor="accent3"/>
          <w:bottom w:val="single" w:sz="4" w:space="0" w:color="B3DBAA" w:themeColor="accent3"/>
          <w:right w:val="single" w:sz="4" w:space="0" w:color="B3DBAA" w:themeColor="accent3"/>
          <w:insideH w:val="single" w:sz="4" w:space="0" w:color="B3DBAA" w:themeColor="accent3"/>
          <w:insideV w:val="single" w:sz="4" w:space="0" w:color="B3DBAA" w:themeColor="accent3"/>
        </w:tcBorders>
        <w:shd w:val="clear" w:color="auto" w:fill="B3DBAA" w:themeFill="accent3"/>
      </w:tcPr>
    </w:tblStylePr>
    <w:tblStylePr w:type="lastCol">
      <w:tblPr/>
      <w:tcPr>
        <w:shd w:val="clear" w:color="auto" w:fill="F2F2F2" w:themeFill="background1" w:themeFillShade="F2"/>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ectionHeading">
    <w:name w:val="Section Heading"/>
    <w:basedOn w:val="Normal"/>
    <w:next w:val="BodyText"/>
    <w:uiPriority w:val="9"/>
    <w:qFormat/>
    <w:rsid w:val="00CD274F"/>
    <w:pPr>
      <w:tabs>
        <w:tab w:val="left" w:pos="851"/>
      </w:tabs>
      <w:spacing w:after="360"/>
    </w:pPr>
    <w:rPr>
      <w:b/>
      <w:color w:val="FFFFFF" w:themeColor="background1"/>
      <w:sz w:val="80"/>
    </w:rPr>
  </w:style>
  <w:style w:type="character" w:styleId="FollowedHyperlink">
    <w:name w:val="FollowedHyperlink"/>
    <w:basedOn w:val="DefaultParagraphFont"/>
    <w:uiPriority w:val="15"/>
    <w:rsid w:val="004709CC"/>
    <w:rPr>
      <w:color w:val="41A62A" w:themeColor="accent1"/>
      <w:u w:val="single"/>
    </w:rPr>
  </w:style>
  <w:style w:type="paragraph" w:customStyle="1" w:styleId="AppHeading1">
    <w:name w:val="App Heading 1"/>
    <w:basedOn w:val="Heading1"/>
    <w:next w:val="BodyText"/>
    <w:uiPriority w:val="9"/>
    <w:qFormat/>
    <w:rsid w:val="00CD274F"/>
    <w:pPr>
      <w:keepNext w:val="0"/>
      <w:keepLines w:val="0"/>
      <w:numPr>
        <w:numId w:val="14"/>
      </w:numPr>
    </w:pPr>
    <w:rPr>
      <w:rFonts w:asciiTheme="minorHAnsi" w:eastAsiaTheme="majorEastAsia" w:hAnsiTheme="minorHAnsi" w:cstheme="majorBidi"/>
      <w:szCs w:val="28"/>
      <w:lang w:eastAsia="en-US"/>
    </w:rPr>
  </w:style>
  <w:style w:type="paragraph" w:customStyle="1" w:styleId="AppHeading2">
    <w:name w:val="App Heading 2"/>
    <w:basedOn w:val="Heading2"/>
    <w:next w:val="BodyText"/>
    <w:uiPriority w:val="9"/>
    <w:qFormat/>
    <w:rsid w:val="00CD274F"/>
    <w:pPr>
      <w:numPr>
        <w:numId w:val="14"/>
      </w:numPr>
    </w:pPr>
    <w:rPr>
      <w:rFonts w:asciiTheme="minorHAnsi" w:eastAsiaTheme="majorEastAsia" w:hAnsiTheme="minorHAnsi" w:cstheme="majorBidi"/>
      <w:iCs w:val="0"/>
      <w:szCs w:val="26"/>
      <w:lang w:eastAsia="en-US"/>
    </w:rPr>
  </w:style>
  <w:style w:type="paragraph" w:customStyle="1" w:styleId="AppHeading3">
    <w:name w:val="App Heading 3"/>
    <w:basedOn w:val="Heading3"/>
    <w:next w:val="BodyText"/>
    <w:uiPriority w:val="9"/>
    <w:qFormat/>
    <w:rsid w:val="00CD274F"/>
    <w:pPr>
      <w:numPr>
        <w:numId w:val="14"/>
      </w:numPr>
    </w:pPr>
    <w:rPr>
      <w:rFonts w:asciiTheme="minorHAnsi" w:eastAsiaTheme="majorEastAsia" w:hAnsiTheme="minorHAnsi" w:cstheme="majorBidi"/>
      <w:szCs w:val="22"/>
      <w:lang w:eastAsia="en-US"/>
    </w:rPr>
  </w:style>
  <w:style w:type="paragraph" w:customStyle="1" w:styleId="ListAlpha2">
    <w:name w:val="List Alpha 2"/>
    <w:basedOn w:val="ListAlpha0"/>
    <w:uiPriority w:val="19"/>
    <w:rsid w:val="004F2A3C"/>
    <w:pPr>
      <w:numPr>
        <w:ilvl w:val="1"/>
      </w:numPr>
    </w:pPr>
  </w:style>
  <w:style w:type="paragraph" w:customStyle="1" w:styleId="ListAlpha3">
    <w:name w:val="List Alpha 3"/>
    <w:basedOn w:val="ListAlpha2"/>
    <w:uiPriority w:val="19"/>
    <w:rsid w:val="004F2A3C"/>
    <w:pPr>
      <w:numPr>
        <w:ilvl w:val="2"/>
      </w:numPr>
    </w:pPr>
  </w:style>
  <w:style w:type="paragraph" w:customStyle="1" w:styleId="ListAlpha4">
    <w:name w:val="List Alpha 4"/>
    <w:basedOn w:val="ListAlpha3"/>
    <w:uiPriority w:val="19"/>
    <w:rsid w:val="004F2A3C"/>
    <w:pPr>
      <w:numPr>
        <w:ilvl w:val="3"/>
      </w:numPr>
    </w:pPr>
  </w:style>
  <w:style w:type="paragraph" w:customStyle="1" w:styleId="ListAlpha6">
    <w:name w:val="List Alpha 6"/>
    <w:basedOn w:val="ListAlpha4"/>
    <w:uiPriority w:val="19"/>
    <w:rsid w:val="004F2A3C"/>
    <w:pPr>
      <w:numPr>
        <w:ilvl w:val="5"/>
      </w:numPr>
    </w:pPr>
  </w:style>
  <w:style w:type="paragraph" w:customStyle="1" w:styleId="ListAlpha5">
    <w:name w:val="List Alpha 5"/>
    <w:basedOn w:val="ListAlpha6"/>
    <w:uiPriority w:val="19"/>
    <w:rsid w:val="004F2A3C"/>
    <w:pPr>
      <w:numPr>
        <w:ilvl w:val="4"/>
      </w:numPr>
    </w:pPr>
  </w:style>
  <w:style w:type="paragraph" w:styleId="ListBullet2">
    <w:name w:val="List Bullet 2"/>
    <w:basedOn w:val="ListBullet0"/>
    <w:uiPriority w:val="19"/>
    <w:rsid w:val="000A0F7A"/>
    <w:pPr>
      <w:numPr>
        <w:ilvl w:val="1"/>
      </w:numPr>
    </w:pPr>
  </w:style>
  <w:style w:type="paragraph" w:styleId="ListBullet3">
    <w:name w:val="List Bullet 3"/>
    <w:basedOn w:val="ListBullet0"/>
    <w:uiPriority w:val="19"/>
    <w:rsid w:val="000A0F7A"/>
    <w:pPr>
      <w:numPr>
        <w:ilvl w:val="2"/>
      </w:numPr>
    </w:pPr>
  </w:style>
  <w:style w:type="paragraph" w:styleId="ListBullet4">
    <w:name w:val="List Bullet 4"/>
    <w:basedOn w:val="ListBullet0"/>
    <w:uiPriority w:val="19"/>
    <w:rsid w:val="000A0F7A"/>
    <w:pPr>
      <w:numPr>
        <w:ilvl w:val="3"/>
      </w:numPr>
    </w:pPr>
  </w:style>
  <w:style w:type="paragraph" w:styleId="ListBullet5">
    <w:name w:val="List Bullet 5"/>
    <w:basedOn w:val="ListBullet0"/>
    <w:uiPriority w:val="19"/>
    <w:rsid w:val="000A0F7A"/>
    <w:pPr>
      <w:numPr>
        <w:ilvl w:val="4"/>
      </w:numPr>
    </w:pPr>
  </w:style>
  <w:style w:type="paragraph" w:customStyle="1" w:styleId="ListBullet6">
    <w:name w:val="List Bullet 6"/>
    <w:basedOn w:val="ListBullet0"/>
    <w:uiPriority w:val="19"/>
    <w:rsid w:val="000A0F7A"/>
    <w:pPr>
      <w:numPr>
        <w:ilvl w:val="5"/>
      </w:numPr>
    </w:pPr>
  </w:style>
  <w:style w:type="paragraph" w:styleId="ListNumber2">
    <w:name w:val="List Number 2"/>
    <w:aliases w:val="Numbered level 2"/>
    <w:basedOn w:val="ListNumber0"/>
    <w:uiPriority w:val="19"/>
    <w:qFormat/>
    <w:rsid w:val="004F2A3C"/>
    <w:pPr>
      <w:numPr>
        <w:ilvl w:val="1"/>
      </w:numPr>
    </w:pPr>
  </w:style>
  <w:style w:type="paragraph" w:styleId="ListNumber3">
    <w:name w:val="List Number 3"/>
    <w:aliases w:val="Numbered level 3"/>
    <w:basedOn w:val="ListNumber0"/>
    <w:uiPriority w:val="19"/>
    <w:qFormat/>
    <w:rsid w:val="004F2A3C"/>
    <w:pPr>
      <w:numPr>
        <w:ilvl w:val="2"/>
      </w:numPr>
    </w:pPr>
  </w:style>
  <w:style w:type="paragraph" w:styleId="ListNumber4">
    <w:name w:val="List Number 4"/>
    <w:basedOn w:val="ListNumber0"/>
    <w:uiPriority w:val="19"/>
    <w:rsid w:val="004F2A3C"/>
    <w:pPr>
      <w:numPr>
        <w:ilvl w:val="3"/>
      </w:numPr>
    </w:pPr>
  </w:style>
  <w:style w:type="paragraph" w:styleId="ListNumber5">
    <w:name w:val="List Number 5"/>
    <w:basedOn w:val="ListNumber0"/>
    <w:uiPriority w:val="19"/>
    <w:rsid w:val="004F2A3C"/>
    <w:pPr>
      <w:numPr>
        <w:ilvl w:val="4"/>
      </w:numPr>
    </w:pPr>
  </w:style>
  <w:style w:type="paragraph" w:customStyle="1" w:styleId="ListNumber6">
    <w:name w:val="List Number 6"/>
    <w:basedOn w:val="ListNumber0"/>
    <w:uiPriority w:val="19"/>
    <w:rsid w:val="004F2A3C"/>
    <w:pPr>
      <w:numPr>
        <w:ilvl w:val="5"/>
      </w:numPr>
    </w:pPr>
  </w:style>
  <w:style w:type="paragraph" w:customStyle="1" w:styleId="ListParagraph2">
    <w:name w:val="List Paragraph 2"/>
    <w:basedOn w:val="ListParagraph0"/>
    <w:uiPriority w:val="19"/>
    <w:rsid w:val="00D00835"/>
    <w:pPr>
      <w:numPr>
        <w:ilvl w:val="1"/>
      </w:numPr>
    </w:pPr>
  </w:style>
  <w:style w:type="paragraph" w:customStyle="1" w:styleId="ListParagraph3">
    <w:name w:val="List Paragraph 3"/>
    <w:basedOn w:val="ListParagraph0"/>
    <w:uiPriority w:val="19"/>
    <w:rsid w:val="00D00835"/>
    <w:pPr>
      <w:numPr>
        <w:ilvl w:val="2"/>
      </w:numPr>
    </w:pPr>
  </w:style>
  <w:style w:type="paragraph" w:customStyle="1" w:styleId="ListParagraph4">
    <w:name w:val="List Paragraph 4"/>
    <w:basedOn w:val="ListParagraph0"/>
    <w:uiPriority w:val="19"/>
    <w:rsid w:val="00D00835"/>
    <w:pPr>
      <w:numPr>
        <w:ilvl w:val="3"/>
      </w:numPr>
    </w:pPr>
  </w:style>
  <w:style w:type="paragraph" w:customStyle="1" w:styleId="ListParagraph5">
    <w:name w:val="List Paragraph 5"/>
    <w:basedOn w:val="ListParagraph0"/>
    <w:uiPriority w:val="19"/>
    <w:rsid w:val="00D00835"/>
    <w:pPr>
      <w:numPr>
        <w:ilvl w:val="4"/>
      </w:numPr>
    </w:pPr>
  </w:style>
  <w:style w:type="paragraph" w:customStyle="1" w:styleId="ListParagraph6">
    <w:name w:val="List Paragraph 6"/>
    <w:basedOn w:val="ListParagraph0"/>
    <w:uiPriority w:val="19"/>
    <w:rsid w:val="00D00835"/>
    <w:pPr>
      <w:numPr>
        <w:ilvl w:val="5"/>
      </w:numPr>
    </w:pPr>
  </w:style>
  <w:style w:type="numbering" w:customStyle="1" w:styleId="ListBullet">
    <w:name w:val="List_Bullet"/>
    <w:uiPriority w:val="99"/>
    <w:rsid w:val="000A0F7A"/>
    <w:pPr>
      <w:numPr>
        <w:numId w:val="2"/>
      </w:numPr>
    </w:pPr>
  </w:style>
  <w:style w:type="numbering" w:customStyle="1" w:styleId="ListNumberedHeadings">
    <w:name w:val="List_NumberedHeadings"/>
    <w:uiPriority w:val="99"/>
    <w:rsid w:val="001F15CE"/>
    <w:pPr>
      <w:numPr>
        <w:numId w:val="4"/>
      </w:numPr>
    </w:pPr>
  </w:style>
  <w:style w:type="numbering" w:customStyle="1" w:styleId="ListTableBullet">
    <w:name w:val="List_TableBullet"/>
    <w:uiPriority w:val="99"/>
    <w:rsid w:val="00DC5165"/>
    <w:pPr>
      <w:numPr>
        <w:numId w:val="6"/>
      </w:numPr>
    </w:pPr>
  </w:style>
  <w:style w:type="numbering" w:customStyle="1" w:styleId="ListTableNumber">
    <w:name w:val="List_TableNumber"/>
    <w:uiPriority w:val="99"/>
    <w:rsid w:val="002C6885"/>
    <w:pPr>
      <w:numPr>
        <w:numId w:val="7"/>
      </w:numPr>
    </w:pPr>
  </w:style>
  <w:style w:type="paragraph" w:customStyle="1" w:styleId="TableBullet2">
    <w:name w:val="Table Bullet 2"/>
    <w:basedOn w:val="TableBullet"/>
    <w:uiPriority w:val="19"/>
    <w:rsid w:val="00DC5165"/>
    <w:pPr>
      <w:numPr>
        <w:ilvl w:val="1"/>
      </w:numPr>
    </w:pPr>
  </w:style>
  <w:style w:type="paragraph" w:customStyle="1" w:styleId="TableNumber2">
    <w:name w:val="Table Number 2"/>
    <w:basedOn w:val="TableNumber"/>
    <w:uiPriority w:val="19"/>
    <w:rsid w:val="00DC5165"/>
    <w:pPr>
      <w:numPr>
        <w:ilvl w:val="1"/>
      </w:numPr>
    </w:pPr>
  </w:style>
  <w:style w:type="paragraph" w:customStyle="1" w:styleId="BodyText4">
    <w:name w:val="Body Text 4"/>
    <w:basedOn w:val="BodyText3"/>
    <w:uiPriority w:val="99"/>
    <w:semiHidden/>
    <w:qFormat/>
    <w:rsid w:val="00444AE6"/>
    <w:pPr>
      <w:numPr>
        <w:ilvl w:val="3"/>
      </w:numPr>
    </w:pPr>
  </w:style>
  <w:style w:type="paragraph" w:customStyle="1" w:styleId="BodyText5">
    <w:name w:val="Body Text 5"/>
    <w:basedOn w:val="BodyText4"/>
    <w:uiPriority w:val="99"/>
    <w:semiHidden/>
    <w:qFormat/>
    <w:rsid w:val="00444AE6"/>
    <w:pPr>
      <w:numPr>
        <w:ilvl w:val="4"/>
      </w:numPr>
    </w:pPr>
  </w:style>
  <w:style w:type="paragraph" w:customStyle="1" w:styleId="BodyText6">
    <w:name w:val="Body Text 6"/>
    <w:basedOn w:val="BodyText5"/>
    <w:uiPriority w:val="99"/>
    <w:semiHidden/>
    <w:qFormat/>
    <w:rsid w:val="00444AE6"/>
    <w:pPr>
      <w:numPr>
        <w:ilvl w:val="5"/>
      </w:numPr>
    </w:pPr>
  </w:style>
  <w:style w:type="numbering" w:customStyle="1" w:styleId="ListAppHeadings">
    <w:name w:val="List_AppHeadings"/>
    <w:uiPriority w:val="99"/>
    <w:rsid w:val="00CD274F"/>
    <w:pPr>
      <w:numPr>
        <w:numId w:val="13"/>
      </w:numPr>
    </w:pPr>
  </w:style>
  <w:style w:type="paragraph" w:customStyle="1" w:styleId="BreakoutText">
    <w:name w:val="Breakout Text"/>
    <w:basedOn w:val="Normal"/>
    <w:uiPriority w:val="6"/>
    <w:qFormat/>
    <w:rsid w:val="00425C39"/>
    <w:pPr>
      <w:spacing w:line="260" w:lineRule="atLeast"/>
    </w:pPr>
  </w:style>
  <w:style w:type="paragraph" w:customStyle="1" w:styleId="BreakOutBullets">
    <w:name w:val="Break Out Bullets"/>
    <w:basedOn w:val="Normal"/>
    <w:uiPriority w:val="7"/>
    <w:qFormat/>
    <w:rsid w:val="00650A8A"/>
    <w:pPr>
      <w:numPr>
        <w:numId w:val="15"/>
      </w:numPr>
      <w:spacing w:before="60" w:line="260" w:lineRule="atLeast"/>
    </w:pPr>
  </w:style>
  <w:style w:type="character" w:styleId="PlaceholderText">
    <w:name w:val="Placeholder Text"/>
    <w:basedOn w:val="DefaultParagraphFont"/>
    <w:uiPriority w:val="99"/>
    <w:semiHidden/>
    <w:rsid w:val="002106C4"/>
    <w:rPr>
      <w:color w:val="808080"/>
    </w:rPr>
  </w:style>
  <w:style w:type="table" w:customStyle="1" w:styleId="TableNoBorders">
    <w:name w:val="Table No Borders"/>
    <w:basedOn w:val="TableNormal"/>
    <w:uiPriority w:val="99"/>
    <w:rsid w:val="004F2DA1"/>
    <w:pPr>
      <w:spacing w:before="0" w:after="0"/>
    </w:pPr>
    <w:tblPr>
      <w:tblCellMar>
        <w:left w:w="0" w:type="dxa"/>
        <w:right w:w="0" w:type="dxa"/>
      </w:tblCellMar>
    </w:tblPr>
  </w:style>
  <w:style w:type="paragraph" w:customStyle="1" w:styleId="GreenText">
    <w:name w:val="Green Text"/>
    <w:basedOn w:val="BodyText"/>
    <w:uiPriority w:val="5"/>
    <w:qFormat/>
    <w:rsid w:val="00FC7933"/>
    <w:rPr>
      <w:color w:val="41A62A" w:themeColor="accent1"/>
    </w:rPr>
  </w:style>
  <w:style w:type="paragraph" w:customStyle="1" w:styleId="TOCHeading2">
    <w:name w:val="TOC Heading 2"/>
    <w:basedOn w:val="Normal"/>
    <w:next w:val="Normal"/>
    <w:uiPriority w:val="39"/>
    <w:rsid w:val="00DF4D10"/>
    <w:pPr>
      <w:spacing w:before="320" w:after="120"/>
    </w:pPr>
    <w:rPr>
      <w:b/>
      <w:caps/>
      <w:color w:val="41A62A" w:themeColor="accent1"/>
      <w:sz w:val="19"/>
    </w:rPr>
  </w:style>
  <w:style w:type="table" w:customStyle="1" w:styleId="OrangeLinedTable">
    <w:name w:val="Orange Lined Table"/>
    <w:basedOn w:val="TableGrid"/>
    <w:uiPriority w:val="99"/>
    <w:rsid w:val="00F9006B"/>
    <w:pPr>
      <w:spacing w:before="0"/>
    </w:pPr>
    <w:tblPr>
      <w:tblStyleRowBandSize w:val="1"/>
      <w:tblStyleColBandSize w:val="1"/>
      <w:tblBorders>
        <w:top w:val="single" w:sz="4" w:space="0" w:color="F27731" w:themeColor="accent5"/>
        <w:left w:val="none" w:sz="0" w:space="0" w:color="auto"/>
        <w:bottom w:val="single" w:sz="4" w:space="0" w:color="F27731" w:themeColor="accent5"/>
        <w:right w:val="none" w:sz="0" w:space="0" w:color="auto"/>
        <w:insideH w:val="single" w:sz="4" w:space="0" w:color="F27731" w:themeColor="accent5"/>
        <w:insideV w:val="none" w:sz="0" w:space="0" w:color="auto"/>
      </w:tblBorders>
    </w:tblPr>
    <w:tblStylePr w:type="firstRow">
      <w:rPr>
        <w:color w:val="FFFFFF" w:themeColor="background1"/>
      </w:rPr>
      <w:tblPr/>
      <w:tcPr>
        <w:shd w:val="clear" w:color="auto" w:fill="F27731" w:themeFill="accent5"/>
      </w:tcPr>
    </w:tblStylePr>
    <w:tblStylePr w:type="lastRow">
      <w:rPr>
        <w:b/>
        <w:color w:val="4E4E50" w:themeColor="accent2"/>
      </w:rPr>
      <w:tblPr/>
      <w:tcPr>
        <w:shd w:val="clear" w:color="auto" w:fill="F2F2F2" w:themeFill="background1" w:themeFillShade="F2"/>
      </w:tcPr>
    </w:tblStylePr>
    <w:tblStylePr w:type="firstCol">
      <w:rPr>
        <w:color w:val="FFFFFF" w:themeColor="background1"/>
      </w:rPr>
      <w:tblPr/>
      <w:tcPr>
        <w:shd w:val="clear" w:color="auto" w:fill="F27731" w:themeFill="accent5"/>
      </w:tcPr>
    </w:tblStylePr>
    <w:tblStylePr w:type="lastCol">
      <w:tblPr/>
      <w:tcPr>
        <w:shd w:val="clear" w:color="auto" w:fill="F2F2F2" w:themeFill="background1" w:themeFillShade="F2"/>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BreakOutBullets2">
    <w:name w:val="Break Out Bullets 2"/>
    <w:basedOn w:val="BreakOutBullets"/>
    <w:uiPriority w:val="19"/>
    <w:rsid w:val="0073133D"/>
    <w:pPr>
      <w:numPr>
        <w:ilvl w:val="1"/>
      </w:numPr>
    </w:pPr>
  </w:style>
  <w:style w:type="numbering" w:customStyle="1" w:styleId="ListBreakOut">
    <w:name w:val="List_BreakOut"/>
    <w:uiPriority w:val="99"/>
    <w:rsid w:val="0073133D"/>
    <w:pPr>
      <w:numPr>
        <w:numId w:val="15"/>
      </w:numPr>
    </w:pPr>
  </w:style>
  <w:style w:type="paragraph" w:customStyle="1" w:styleId="CoverDetails">
    <w:name w:val="Cover Details"/>
    <w:basedOn w:val="BodyText"/>
    <w:uiPriority w:val="11"/>
    <w:qFormat/>
    <w:rsid w:val="000D229E"/>
    <w:pPr>
      <w:framePr w:hSpace="181" w:wrap="around" w:hAnchor="margin" w:yAlign="bottom"/>
      <w:spacing w:before="60" w:after="60"/>
      <w:suppressOverlap/>
    </w:pPr>
    <w:rPr>
      <w:sz w:val="24"/>
    </w:rPr>
  </w:style>
  <w:style w:type="paragraph" w:customStyle="1" w:styleId="TitleGreen">
    <w:name w:val="Title Green"/>
    <w:basedOn w:val="Title"/>
    <w:uiPriority w:val="9"/>
    <w:qFormat/>
    <w:rsid w:val="00877C46"/>
    <w:pPr>
      <w:framePr w:wrap="around" w:vAnchor="page" w:hAnchor="text" w:y="11908"/>
    </w:pPr>
    <w:rPr>
      <w:color w:val="41A62A" w:themeColor="accent1"/>
    </w:rPr>
  </w:style>
  <w:style w:type="paragraph" w:customStyle="1" w:styleId="InsideCoverText">
    <w:name w:val="Inside Cover Text"/>
    <w:basedOn w:val="Normal"/>
    <w:uiPriority w:val="11"/>
    <w:rsid w:val="00D2203B"/>
    <w:pPr>
      <w:framePr w:hSpace="181" w:wrap="around" w:hAnchor="margin" w:yAlign="bottom"/>
      <w:spacing w:before="120" w:after="120"/>
      <w:suppressOverlap/>
    </w:pPr>
    <w:rPr>
      <w:color w:val="4E4E50" w:themeColor="text2"/>
    </w:rPr>
  </w:style>
  <w:style w:type="character" w:customStyle="1" w:styleId="TableTextChar">
    <w:name w:val="Table Text Char"/>
    <w:link w:val="TableText"/>
    <w:uiPriority w:val="3"/>
    <w:rsid w:val="006E29E8"/>
    <w:rPr>
      <w:color w:val="4E4E50" w:themeColor="text2"/>
      <w:sz w:val="20"/>
    </w:rPr>
  </w:style>
  <w:style w:type="character" w:customStyle="1" w:styleId="8ptgreen">
    <w:name w:val="8pt green"/>
    <w:uiPriority w:val="99"/>
    <w:rsid w:val="00D2203B"/>
    <w:rPr>
      <w:color w:val="41A62A" w:themeColor="accent1"/>
      <w:sz w:val="16"/>
      <w:szCs w:val="16"/>
    </w:rPr>
  </w:style>
  <w:style w:type="paragraph" w:customStyle="1" w:styleId="InsideCoverHeading">
    <w:name w:val="Inside Cover Heading"/>
    <w:basedOn w:val="InsideCoverText"/>
    <w:uiPriority w:val="11"/>
    <w:rsid w:val="00D2203B"/>
    <w:pPr>
      <w:framePr w:wrap="around"/>
    </w:pPr>
    <w:rPr>
      <w:b/>
      <w:color w:val="41A62A" w:themeColor="accent1"/>
    </w:rPr>
  </w:style>
  <w:style w:type="character" w:customStyle="1" w:styleId="UnresolvedMention1">
    <w:name w:val="Unresolved Mention1"/>
    <w:basedOn w:val="DefaultParagraphFont"/>
    <w:uiPriority w:val="99"/>
    <w:semiHidden/>
    <w:unhideWhenUsed/>
    <w:rsid w:val="00C56BB2"/>
    <w:rPr>
      <w:color w:val="808080"/>
      <w:shd w:val="clear" w:color="auto" w:fill="E6E6E6"/>
    </w:rPr>
  </w:style>
  <w:style w:type="paragraph" w:customStyle="1" w:styleId="TableHeadingWhite">
    <w:name w:val="Table Heading White"/>
    <w:basedOn w:val="TableHeadingGrey"/>
    <w:uiPriority w:val="3"/>
    <w:qFormat/>
    <w:rsid w:val="00DB37F4"/>
    <w:rPr>
      <w:color w:val="FFFFFF" w:themeColor="background1"/>
    </w:rPr>
  </w:style>
  <w:style w:type="paragraph" w:customStyle="1" w:styleId="BreakOutText0">
    <w:name w:val="Break Out Text"/>
    <w:basedOn w:val="Normal"/>
    <w:uiPriority w:val="6"/>
    <w:qFormat/>
    <w:rsid w:val="00650A8A"/>
    <w:pPr>
      <w:spacing w:line="260" w:lineRule="atLeast"/>
    </w:pPr>
  </w:style>
  <w:style w:type="paragraph" w:customStyle="1" w:styleId="TableHeadingGrey">
    <w:name w:val="Table Heading Grey"/>
    <w:basedOn w:val="Normal"/>
    <w:uiPriority w:val="3"/>
    <w:qFormat/>
    <w:rsid w:val="00DB37F4"/>
    <w:pPr>
      <w:spacing w:before="80" w:after="80"/>
      <w:ind w:left="113" w:right="113"/>
    </w:pPr>
    <w:rPr>
      <w:b/>
      <w:color w:val="4E4E50" w:themeColor="text2"/>
    </w:rPr>
  </w:style>
  <w:style w:type="table" w:customStyle="1" w:styleId="GreyFullShadedTable">
    <w:name w:val="Grey Full Shaded Table"/>
    <w:basedOn w:val="TableNormal"/>
    <w:uiPriority w:val="99"/>
    <w:rsid w:val="009D3F15"/>
    <w:pPr>
      <w:spacing w:before="0" w:after="0"/>
    </w:pPr>
    <w:tblPr>
      <w:tblBorders>
        <w:insideH w:val="single" w:sz="4" w:space="0" w:color="FFFFFF" w:themeColor="background1"/>
        <w:insideV w:val="single" w:sz="4" w:space="0" w:color="FFFFFF" w:themeColor="background1"/>
      </w:tblBorders>
    </w:tblPr>
    <w:tcPr>
      <w:shd w:val="clear" w:color="auto" w:fill="F2F2F2" w:themeFill="background2"/>
    </w:tcPr>
    <w:tblStylePr w:type="firstRow">
      <w:rPr>
        <w:color w:val="FFFFFF" w:themeColor="background1"/>
      </w:rPr>
      <w:tblPr/>
      <w:tcPr>
        <w:shd w:val="clear" w:color="auto" w:fill="4E4E50" w:themeFill="text2"/>
      </w:tcPr>
    </w:tblStylePr>
    <w:tblStylePr w:type="firstCol">
      <w:rPr>
        <w:color w:val="FFFFFF" w:themeColor="background1"/>
      </w:rPr>
      <w:tblPr/>
      <w:tcPr>
        <w:shd w:val="clear" w:color="auto" w:fill="4E4E50" w:themeFill="text2"/>
      </w:tcPr>
    </w:tblStylePr>
  </w:style>
  <w:style w:type="numbering" w:customStyle="1" w:styleId="ListTableAlpha">
    <w:name w:val="List_TableAlpha"/>
    <w:uiPriority w:val="99"/>
    <w:rsid w:val="00F9006B"/>
    <w:pPr>
      <w:numPr>
        <w:numId w:val="17"/>
      </w:numPr>
    </w:pPr>
  </w:style>
  <w:style w:type="paragraph" w:customStyle="1" w:styleId="TableAlpha">
    <w:name w:val="Table Alpha"/>
    <w:basedOn w:val="TableText"/>
    <w:uiPriority w:val="4"/>
    <w:qFormat/>
    <w:rsid w:val="00F9006B"/>
    <w:pPr>
      <w:numPr>
        <w:numId w:val="18"/>
      </w:numPr>
    </w:pPr>
  </w:style>
  <w:style w:type="paragraph" w:customStyle="1" w:styleId="TableAlpha2">
    <w:name w:val="Table Alpha 2"/>
    <w:basedOn w:val="TableAlpha"/>
    <w:uiPriority w:val="24"/>
    <w:qFormat/>
    <w:rsid w:val="00F9006B"/>
    <w:pPr>
      <w:numPr>
        <w:ilvl w:val="1"/>
      </w:numPr>
    </w:pPr>
  </w:style>
  <w:style w:type="paragraph" w:customStyle="1" w:styleId="Source">
    <w:name w:val="Source"/>
    <w:basedOn w:val="Normal"/>
    <w:next w:val="BodyText"/>
    <w:uiPriority w:val="1"/>
    <w:qFormat/>
    <w:rsid w:val="00721B0D"/>
    <w:pPr>
      <w:spacing w:before="120" w:after="240"/>
    </w:pPr>
    <w:rPr>
      <w:color w:val="4E4E50" w:themeColor="accent2"/>
      <w:sz w:val="16"/>
    </w:rPr>
  </w:style>
  <w:style w:type="paragraph" w:customStyle="1" w:styleId="Default">
    <w:name w:val="Default"/>
    <w:rsid w:val="00717A5E"/>
    <w:pPr>
      <w:autoSpaceDE w:val="0"/>
      <w:autoSpaceDN w:val="0"/>
      <w:adjustRightInd w:val="0"/>
      <w:spacing w:before="0" w:after="0"/>
    </w:pPr>
    <w:rPr>
      <w:rFonts w:ascii="Symbol" w:eastAsia="Times New Roman" w:hAnsi="Symbol" w:cs="Symbol"/>
      <w:color w:val="000000"/>
      <w:sz w:val="24"/>
      <w:szCs w:val="24"/>
      <w:lang w:eastAsia="en-AU"/>
    </w:rPr>
  </w:style>
  <w:style w:type="character" w:customStyle="1" w:styleId="WW8Num14z7">
    <w:name w:val="WW8Num14z7"/>
    <w:rsid w:val="003655CF"/>
  </w:style>
  <w:style w:type="character" w:styleId="CommentReference">
    <w:name w:val="annotation reference"/>
    <w:basedOn w:val="DefaultParagraphFont"/>
    <w:uiPriority w:val="99"/>
    <w:semiHidden/>
    <w:rsid w:val="00B4417A"/>
    <w:rPr>
      <w:sz w:val="16"/>
      <w:szCs w:val="16"/>
    </w:rPr>
  </w:style>
  <w:style w:type="paragraph" w:styleId="CommentText">
    <w:name w:val="annotation text"/>
    <w:basedOn w:val="Normal"/>
    <w:link w:val="CommentTextChar"/>
    <w:uiPriority w:val="99"/>
    <w:semiHidden/>
    <w:rsid w:val="00B4417A"/>
    <w:rPr>
      <w:szCs w:val="20"/>
    </w:rPr>
  </w:style>
  <w:style w:type="character" w:customStyle="1" w:styleId="CommentTextChar">
    <w:name w:val="Comment Text Char"/>
    <w:basedOn w:val="DefaultParagraphFont"/>
    <w:link w:val="CommentText"/>
    <w:uiPriority w:val="99"/>
    <w:semiHidden/>
    <w:rsid w:val="00B4417A"/>
    <w:rPr>
      <w:sz w:val="20"/>
      <w:szCs w:val="20"/>
    </w:rPr>
  </w:style>
  <w:style w:type="paragraph" w:styleId="CommentSubject">
    <w:name w:val="annotation subject"/>
    <w:basedOn w:val="CommentText"/>
    <w:next w:val="CommentText"/>
    <w:link w:val="CommentSubjectChar"/>
    <w:uiPriority w:val="99"/>
    <w:semiHidden/>
    <w:rsid w:val="00B4417A"/>
    <w:rPr>
      <w:b/>
      <w:bCs/>
    </w:rPr>
  </w:style>
  <w:style w:type="character" w:customStyle="1" w:styleId="CommentSubjectChar">
    <w:name w:val="Comment Subject Char"/>
    <w:basedOn w:val="CommentTextChar"/>
    <w:link w:val="CommentSubject"/>
    <w:uiPriority w:val="99"/>
    <w:semiHidden/>
    <w:rsid w:val="00B4417A"/>
    <w:rPr>
      <w:b/>
      <w:bCs/>
      <w:sz w:val="20"/>
      <w:szCs w:val="20"/>
    </w:rPr>
  </w:style>
  <w:style w:type="character" w:customStyle="1" w:styleId="frag-name">
    <w:name w:val="frag-name"/>
    <w:basedOn w:val="DefaultParagraphFont"/>
    <w:rsid w:val="00893B11"/>
  </w:style>
  <w:style w:type="character" w:customStyle="1" w:styleId="frag-no">
    <w:name w:val="frag-no"/>
    <w:basedOn w:val="DefaultParagraphFont"/>
    <w:rsid w:val="00BD6F09"/>
  </w:style>
  <w:style w:type="character" w:customStyle="1" w:styleId="frag-defterm">
    <w:name w:val="frag-defterm"/>
    <w:basedOn w:val="DefaultParagraphFont"/>
    <w:rsid w:val="004D606B"/>
  </w:style>
  <w:style w:type="paragraph" w:styleId="Revision">
    <w:name w:val="Revision"/>
    <w:hidden/>
    <w:uiPriority w:val="99"/>
    <w:semiHidden/>
    <w:rsid w:val="00B71213"/>
    <w:pPr>
      <w:spacing w:before="0" w:after="0"/>
    </w:pPr>
    <w:rPr>
      <w:sz w:val="20"/>
    </w:rPr>
  </w:style>
  <w:style w:type="table" w:styleId="TableGridLight">
    <w:name w:val="Grid Table Light"/>
    <w:basedOn w:val="TableNormal"/>
    <w:uiPriority w:val="40"/>
    <w:rsid w:val="002F55A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8811">
      <w:bodyDiv w:val="1"/>
      <w:marLeft w:val="0"/>
      <w:marRight w:val="0"/>
      <w:marTop w:val="0"/>
      <w:marBottom w:val="0"/>
      <w:divBdr>
        <w:top w:val="none" w:sz="0" w:space="0" w:color="auto"/>
        <w:left w:val="none" w:sz="0" w:space="0" w:color="auto"/>
        <w:bottom w:val="none" w:sz="0" w:space="0" w:color="auto"/>
        <w:right w:val="none" w:sz="0" w:space="0" w:color="auto"/>
      </w:divBdr>
    </w:div>
    <w:div w:id="83382852">
      <w:bodyDiv w:val="1"/>
      <w:marLeft w:val="0"/>
      <w:marRight w:val="0"/>
      <w:marTop w:val="0"/>
      <w:marBottom w:val="0"/>
      <w:divBdr>
        <w:top w:val="none" w:sz="0" w:space="0" w:color="auto"/>
        <w:left w:val="none" w:sz="0" w:space="0" w:color="auto"/>
        <w:bottom w:val="none" w:sz="0" w:space="0" w:color="auto"/>
        <w:right w:val="none" w:sz="0" w:space="0" w:color="auto"/>
      </w:divBdr>
      <w:divsChild>
        <w:div w:id="694690925">
          <w:marLeft w:val="0"/>
          <w:marRight w:val="0"/>
          <w:marTop w:val="0"/>
          <w:marBottom w:val="0"/>
          <w:divBdr>
            <w:top w:val="none" w:sz="0" w:space="0" w:color="auto"/>
            <w:left w:val="none" w:sz="0" w:space="0" w:color="auto"/>
            <w:bottom w:val="none" w:sz="0" w:space="0" w:color="auto"/>
            <w:right w:val="none" w:sz="0" w:space="0" w:color="auto"/>
          </w:divBdr>
          <w:divsChild>
            <w:div w:id="20640169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86069227">
          <w:marLeft w:val="0"/>
          <w:marRight w:val="0"/>
          <w:marTop w:val="0"/>
          <w:marBottom w:val="0"/>
          <w:divBdr>
            <w:top w:val="none" w:sz="0" w:space="0" w:color="auto"/>
            <w:left w:val="none" w:sz="0" w:space="0" w:color="auto"/>
            <w:bottom w:val="none" w:sz="0" w:space="0" w:color="auto"/>
            <w:right w:val="none" w:sz="0" w:space="0" w:color="auto"/>
          </w:divBdr>
          <w:divsChild>
            <w:div w:id="13508316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26765713">
      <w:bodyDiv w:val="1"/>
      <w:marLeft w:val="0"/>
      <w:marRight w:val="0"/>
      <w:marTop w:val="0"/>
      <w:marBottom w:val="0"/>
      <w:divBdr>
        <w:top w:val="none" w:sz="0" w:space="0" w:color="auto"/>
        <w:left w:val="none" w:sz="0" w:space="0" w:color="auto"/>
        <w:bottom w:val="none" w:sz="0" w:space="0" w:color="auto"/>
        <w:right w:val="none" w:sz="0" w:space="0" w:color="auto"/>
      </w:divBdr>
    </w:div>
    <w:div w:id="1782263134">
      <w:bodyDiv w:val="1"/>
      <w:marLeft w:val="0"/>
      <w:marRight w:val="0"/>
      <w:marTop w:val="0"/>
      <w:marBottom w:val="0"/>
      <w:divBdr>
        <w:top w:val="none" w:sz="0" w:space="0" w:color="auto"/>
        <w:left w:val="none" w:sz="0" w:space="0" w:color="auto"/>
        <w:bottom w:val="none" w:sz="0" w:space="0" w:color="auto"/>
        <w:right w:val="none" w:sz="0" w:space="0" w:color="auto"/>
      </w:divBdr>
    </w:div>
    <w:div w:id="1948416619">
      <w:bodyDiv w:val="1"/>
      <w:marLeft w:val="0"/>
      <w:marRight w:val="0"/>
      <w:marTop w:val="0"/>
      <w:marBottom w:val="0"/>
      <w:divBdr>
        <w:top w:val="none" w:sz="0" w:space="0" w:color="auto"/>
        <w:left w:val="none" w:sz="0" w:space="0" w:color="auto"/>
        <w:bottom w:val="none" w:sz="0" w:space="0" w:color="auto"/>
        <w:right w:val="none" w:sz="0" w:space="0" w:color="auto"/>
      </w:divBdr>
      <w:divsChild>
        <w:div w:id="155462520">
          <w:marLeft w:val="0"/>
          <w:marRight w:val="0"/>
          <w:marTop w:val="0"/>
          <w:marBottom w:val="0"/>
          <w:divBdr>
            <w:top w:val="none" w:sz="0" w:space="0" w:color="auto"/>
            <w:left w:val="none" w:sz="0" w:space="0" w:color="auto"/>
            <w:bottom w:val="none" w:sz="0" w:space="0" w:color="auto"/>
            <w:right w:val="none" w:sz="0" w:space="0" w:color="auto"/>
          </w:divBdr>
          <w:divsChild>
            <w:div w:id="67607643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22454251">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2107193500">
      <w:bodyDiv w:val="1"/>
      <w:marLeft w:val="0"/>
      <w:marRight w:val="0"/>
      <w:marTop w:val="0"/>
      <w:marBottom w:val="0"/>
      <w:divBdr>
        <w:top w:val="none" w:sz="0" w:space="0" w:color="auto"/>
        <w:left w:val="none" w:sz="0" w:space="0" w:color="auto"/>
        <w:bottom w:val="none" w:sz="0" w:space="0" w:color="auto"/>
        <w:right w:val="none" w:sz="0" w:space="0" w:color="auto"/>
      </w:divBdr>
      <w:divsChild>
        <w:div w:id="1843735488">
          <w:marLeft w:val="0"/>
          <w:marRight w:val="0"/>
          <w:marTop w:val="0"/>
          <w:marBottom w:val="0"/>
          <w:divBdr>
            <w:top w:val="none" w:sz="0" w:space="0" w:color="auto"/>
            <w:left w:val="none" w:sz="0" w:space="0" w:color="auto"/>
            <w:bottom w:val="none" w:sz="0" w:space="0" w:color="auto"/>
            <w:right w:val="none" w:sz="0" w:space="0" w:color="auto"/>
          </w:divBdr>
          <w:divsChild>
            <w:div w:id="22722965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5.jpeg"/><Relationship Id="rId34"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mailto:consulting@elton.com.au" TargetMode="External"/><Relationship Id="rId17" Type="http://schemas.openxmlformats.org/officeDocument/2006/relationships/header" Target="header3.xml"/><Relationship Id="rId25" Type="http://schemas.openxmlformats.org/officeDocument/2006/relationships/image" Target="media/image9.png"/><Relationship Id="rId33" Type="http://schemas.openxmlformats.org/officeDocument/2006/relationships/hyperlink" Target="http://www.elton.com.a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lton.com.au" TargetMode="External"/><Relationship Id="rId24" Type="http://schemas.openxmlformats.org/officeDocument/2006/relationships/image" Target="media/image8.png"/><Relationship Id="rId32" Type="http://schemas.openxmlformats.org/officeDocument/2006/relationships/hyperlink" Target="http://www.elton.com.au"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3.jpeg"/><Relationship Id="rId31"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image" Target="media/image6.JPG"/><Relationship Id="rId27" Type="http://schemas.openxmlformats.org/officeDocument/2006/relationships/image" Target="media/image11.jpeg"/><Relationship Id="rId30" Type="http://schemas.openxmlformats.org/officeDocument/2006/relationships/header" Target="header4.xm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BSG\ICT\NTemplates\Elton2018\Report\Report%20A4P.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DAE373642543F190F5068CB4BC0119"/>
        <w:category>
          <w:name w:val="General"/>
          <w:gallery w:val="placeholder"/>
        </w:category>
        <w:types>
          <w:type w:val="bbPlcHdr"/>
        </w:types>
        <w:behaviors>
          <w:behavior w:val="content"/>
        </w:behaviors>
        <w:guid w:val="{BAD1F1C4-0884-47C3-9B30-B822D96EDBB1}"/>
      </w:docPartPr>
      <w:docPartBody>
        <w:p w:rsidR="00900B3E" w:rsidRDefault="002340E9">
          <w:pPr>
            <w:pStyle w:val="A8DAE373642543F190F5068CB4BC0119"/>
          </w:pPr>
          <w:r w:rsidRPr="00BF5933">
            <w:rPr>
              <w:highlight w:val="yellow"/>
            </w:rPr>
            <w:t xml:space="preserve">[Click </w:t>
          </w:r>
          <w:r>
            <w:rPr>
              <w:highlight w:val="yellow"/>
            </w:rPr>
            <w:t>into</w:t>
          </w:r>
          <w:r w:rsidRPr="00BF5933">
            <w:rPr>
              <w:highlight w:val="yellow"/>
            </w:rPr>
            <w:t xml:space="preserve"> this field to choose an inside cover from the drop down picker]</w:t>
          </w:r>
        </w:p>
      </w:docPartBody>
    </w:docPart>
    <w:docPart>
      <w:docPartPr>
        <w:name w:val="5F9790FCF78F4468B61936E532D37018"/>
        <w:category>
          <w:name w:val="General"/>
          <w:gallery w:val="placeholder"/>
        </w:category>
        <w:types>
          <w:type w:val="bbPlcHdr"/>
        </w:types>
        <w:behaviors>
          <w:behavior w:val="content"/>
        </w:behaviors>
        <w:guid w:val="{346F3506-3413-4676-9CD1-0E0D745FE311}"/>
      </w:docPartPr>
      <w:docPartBody>
        <w:p w:rsidR="00900B3E" w:rsidRDefault="002340E9">
          <w:pPr>
            <w:pStyle w:val="5F9790FCF78F4468B61936E532D37018"/>
          </w:pPr>
          <w:r w:rsidRPr="00A46E5C">
            <w:t>[Elton Contact Name]</w:t>
          </w:r>
        </w:p>
      </w:docPartBody>
    </w:docPart>
    <w:docPart>
      <w:docPartPr>
        <w:name w:val="2A8D2D62922E4543A64790019C967620"/>
        <w:category>
          <w:name w:val="General"/>
          <w:gallery w:val="placeholder"/>
        </w:category>
        <w:types>
          <w:type w:val="bbPlcHdr"/>
        </w:types>
        <w:behaviors>
          <w:behavior w:val="content"/>
        </w:behaviors>
        <w:guid w:val="{9FCA8417-3A65-4A40-BCC6-315BF570A860}"/>
      </w:docPartPr>
      <w:docPartBody>
        <w:p w:rsidR="00900B3E" w:rsidRDefault="002340E9">
          <w:pPr>
            <w:pStyle w:val="2A8D2D62922E4543A64790019C967620"/>
          </w:pPr>
          <w:r w:rsidRPr="00A46E5C">
            <w:t>[Elton Contact Email]</w:t>
          </w:r>
        </w:p>
      </w:docPartBody>
    </w:docPart>
    <w:docPart>
      <w:docPartPr>
        <w:name w:val="7DC9DFC450B440008A1BACF1C18A59EA"/>
        <w:category>
          <w:name w:val="General"/>
          <w:gallery w:val="placeholder"/>
        </w:category>
        <w:types>
          <w:type w:val="bbPlcHdr"/>
        </w:types>
        <w:behaviors>
          <w:behavior w:val="content"/>
        </w:behaviors>
        <w:guid w:val="{C4D7E17D-A5C9-43AA-B11F-19B36396FE45}"/>
      </w:docPartPr>
      <w:docPartBody>
        <w:p w:rsidR="00900B3E" w:rsidRDefault="002340E9">
          <w:pPr>
            <w:pStyle w:val="7DC9DFC450B440008A1BACF1C18A59EA"/>
          </w:pPr>
          <w:r w:rsidRPr="00A46E5C">
            <w:t>[Elton Contact Phone]</w:t>
          </w:r>
        </w:p>
      </w:docPartBody>
    </w:docPart>
    <w:docPart>
      <w:docPartPr>
        <w:name w:val="A289480C540240B089606D04539D41EA"/>
        <w:category>
          <w:name w:val="General"/>
          <w:gallery w:val="placeholder"/>
        </w:category>
        <w:types>
          <w:type w:val="bbPlcHdr"/>
        </w:types>
        <w:behaviors>
          <w:behavior w:val="content"/>
        </w:behaviors>
        <w:guid w:val="{65D9CB3E-E2BC-4400-BD5A-289FDCC3C9B4}"/>
      </w:docPartPr>
      <w:docPartBody>
        <w:p w:rsidR="00900B3E" w:rsidRDefault="002340E9">
          <w:pPr>
            <w:pStyle w:val="A289480C540240B089606D04539D41EA"/>
          </w:pPr>
          <w:r w:rsidRPr="00B802A4">
            <w:rPr>
              <w:rStyle w:val="PlaceholderText"/>
            </w:rPr>
            <w:t>Click or tap here to enter text.</w:t>
          </w:r>
        </w:p>
      </w:docPartBody>
    </w:docPart>
    <w:docPart>
      <w:docPartPr>
        <w:name w:val="F37DE9EA47A5440B8083C1A6114971F8"/>
        <w:category>
          <w:name w:val="General"/>
          <w:gallery w:val="placeholder"/>
        </w:category>
        <w:types>
          <w:type w:val="bbPlcHdr"/>
        </w:types>
        <w:behaviors>
          <w:behavior w:val="content"/>
        </w:behaviors>
        <w:guid w:val="{DEF5423E-01B3-448C-8BCB-6AC1623E39FE}"/>
      </w:docPartPr>
      <w:docPartBody>
        <w:p w:rsidR="00900B3E" w:rsidRDefault="002340E9">
          <w:pPr>
            <w:pStyle w:val="F37DE9EA47A5440B8083C1A6114971F8"/>
          </w:pPr>
          <w:r w:rsidRPr="00D2203B">
            <w:rPr>
              <w:highlight w:val="yellow"/>
            </w:rPr>
            <w:t>[Choose Date]</w:t>
          </w:r>
        </w:p>
      </w:docPartBody>
    </w:docPart>
    <w:docPart>
      <w:docPartPr>
        <w:name w:val="E84B975EBB74423AA83AAE6C233A979E"/>
        <w:category>
          <w:name w:val="General"/>
          <w:gallery w:val="placeholder"/>
        </w:category>
        <w:types>
          <w:type w:val="bbPlcHdr"/>
        </w:types>
        <w:behaviors>
          <w:behavior w:val="content"/>
        </w:behaviors>
        <w:guid w:val="{2102A7F7-D7A4-4D72-A825-6FEA3B52BA04}"/>
      </w:docPartPr>
      <w:docPartBody>
        <w:p w:rsidR="00900B3E" w:rsidRDefault="002340E9">
          <w:pPr>
            <w:pStyle w:val="E84B975EBB74423AA83AAE6C233A979E"/>
          </w:pPr>
          <w:r w:rsidRPr="00461ECB">
            <w:rPr>
              <w:highlight w:val="yellow"/>
            </w:rPr>
            <w:t>[Click into this field to choose a back cover from the drop down picker]</w:t>
          </w:r>
        </w:p>
      </w:docPartBody>
    </w:docPart>
    <w:docPart>
      <w:docPartPr>
        <w:name w:val="FAC449E5854D4FE29060289DD247B12E"/>
        <w:category>
          <w:name w:val="General"/>
          <w:gallery w:val="placeholder"/>
        </w:category>
        <w:types>
          <w:type w:val="bbPlcHdr"/>
        </w:types>
        <w:behaviors>
          <w:behavior w:val="content"/>
        </w:behaviors>
        <w:guid w:val="{4640F971-82AC-4AFA-8893-A3D1D00B2282}"/>
      </w:docPartPr>
      <w:docPartBody>
        <w:p w:rsidR="00900B3E" w:rsidRDefault="002340E9">
          <w:pPr>
            <w:pStyle w:val="FAC449E5854D4FE29060289DD247B12E"/>
          </w:pPr>
          <w:r w:rsidRPr="00125BE5">
            <w:t>[</w:t>
          </w:r>
          <w:r>
            <w:t xml:space="preserve">Document </w:t>
          </w:r>
          <w:r w:rsidRPr="00125BE5">
            <w:t>Title]</w:t>
          </w:r>
        </w:p>
      </w:docPartBody>
    </w:docPart>
    <w:docPart>
      <w:docPartPr>
        <w:name w:val="CE116D06D1504524A1A16593EB886711"/>
        <w:category>
          <w:name w:val="General"/>
          <w:gallery w:val="placeholder"/>
        </w:category>
        <w:types>
          <w:type w:val="bbPlcHdr"/>
        </w:types>
        <w:behaviors>
          <w:behavior w:val="content"/>
        </w:behaviors>
        <w:guid w:val="{5B561DE4-3AA7-4825-8B57-12EDED4C02CD}"/>
      </w:docPartPr>
      <w:docPartBody>
        <w:p w:rsidR="00A802BE" w:rsidRDefault="001B6586" w:rsidP="001B6586">
          <w:pPr>
            <w:pStyle w:val="CE116D06D1504524A1A16593EB886711"/>
          </w:pPr>
          <w:r w:rsidRPr="00125BE5">
            <w:t>[</w:t>
          </w:r>
          <w:r>
            <w:t xml:space="preserve">Document </w:t>
          </w:r>
          <w:r w:rsidRPr="00125BE5">
            <w:t>Title]</w:t>
          </w:r>
        </w:p>
      </w:docPartBody>
    </w:docPart>
    <w:docPart>
      <w:docPartPr>
        <w:name w:val="33C2D8CFD4664B998684C56DE6E9B9B1"/>
        <w:category>
          <w:name w:val="General"/>
          <w:gallery w:val="placeholder"/>
        </w:category>
        <w:types>
          <w:type w:val="bbPlcHdr"/>
        </w:types>
        <w:behaviors>
          <w:behavior w:val="content"/>
        </w:behaviors>
        <w:guid w:val="{AB4A8086-D3FA-46CE-A449-FF91A951F8C4}"/>
      </w:docPartPr>
      <w:docPartBody>
        <w:p w:rsidR="00A802BE" w:rsidRDefault="00A802BE" w:rsidP="00A802BE">
          <w:pPr>
            <w:pStyle w:val="33C2D8CFD4664B998684C56DE6E9B9B1"/>
          </w:pPr>
          <w:r w:rsidRPr="000D229E">
            <w:t>[Document Title]</w:t>
          </w:r>
        </w:p>
      </w:docPartBody>
    </w:docPart>
    <w:docPart>
      <w:docPartPr>
        <w:name w:val="496A9A52C1824156B8A71315D31763E3"/>
        <w:category>
          <w:name w:val="General"/>
          <w:gallery w:val="placeholder"/>
        </w:category>
        <w:types>
          <w:type w:val="bbPlcHdr"/>
        </w:types>
        <w:behaviors>
          <w:behavior w:val="content"/>
        </w:behaviors>
        <w:guid w:val="{2641E1B7-8F31-48BB-B48F-AEF5CB757049}"/>
      </w:docPartPr>
      <w:docPartBody>
        <w:p w:rsidR="00A802BE" w:rsidRDefault="00A802BE" w:rsidP="00A802BE">
          <w:pPr>
            <w:pStyle w:val="496A9A52C1824156B8A71315D31763E3"/>
          </w:pPr>
          <w:r>
            <w:t>[Subtitle]</w:t>
          </w:r>
        </w:p>
      </w:docPartBody>
    </w:docPart>
    <w:docPart>
      <w:docPartPr>
        <w:name w:val="E11DD07D4E3E4EB18CD55D929FB3143E"/>
        <w:category>
          <w:name w:val="General"/>
          <w:gallery w:val="placeholder"/>
        </w:category>
        <w:types>
          <w:type w:val="bbPlcHdr"/>
        </w:types>
        <w:behaviors>
          <w:behavior w:val="content"/>
        </w:behaviors>
        <w:guid w:val="{AE636D39-8554-41C1-93F8-D886F402EF49}"/>
      </w:docPartPr>
      <w:docPartBody>
        <w:p w:rsidR="00A802BE" w:rsidRDefault="00A802BE" w:rsidP="00A802BE">
          <w:pPr>
            <w:pStyle w:val="E11DD07D4E3E4EB18CD55D929FB3143E"/>
          </w:pPr>
          <w:r w:rsidRPr="00FC23E4">
            <w:t>[C</w:t>
          </w:r>
          <w:r>
            <w:t>lient</w:t>
          </w:r>
          <w:r w:rsidRPr="00FC23E4">
            <w:t>]</w:t>
          </w:r>
        </w:p>
      </w:docPartBody>
    </w:docPart>
    <w:docPart>
      <w:docPartPr>
        <w:name w:val="C3F663D616944711A2B14C025D5160F5"/>
        <w:category>
          <w:name w:val="General"/>
          <w:gallery w:val="placeholder"/>
        </w:category>
        <w:types>
          <w:type w:val="bbPlcHdr"/>
        </w:types>
        <w:behaviors>
          <w:behavior w:val="content"/>
        </w:behaviors>
        <w:guid w:val="{88DD2228-757A-42B4-9F4F-D8FF6235A1EC}"/>
      </w:docPartPr>
      <w:docPartBody>
        <w:p w:rsidR="00A802BE" w:rsidRDefault="00A802BE" w:rsidP="00A802BE">
          <w:pPr>
            <w:pStyle w:val="C3F663D616944711A2B14C025D5160F5"/>
          </w:pPr>
          <w:r>
            <w:t>[Choose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0E9"/>
    <w:rsid w:val="001262B6"/>
    <w:rsid w:val="00135502"/>
    <w:rsid w:val="001B6586"/>
    <w:rsid w:val="0022299A"/>
    <w:rsid w:val="002233B8"/>
    <w:rsid w:val="002340E9"/>
    <w:rsid w:val="002510E7"/>
    <w:rsid w:val="0028285D"/>
    <w:rsid w:val="00347CC2"/>
    <w:rsid w:val="00375B3E"/>
    <w:rsid w:val="00525F99"/>
    <w:rsid w:val="006A523A"/>
    <w:rsid w:val="006A615A"/>
    <w:rsid w:val="006C090E"/>
    <w:rsid w:val="0071191A"/>
    <w:rsid w:val="0076394F"/>
    <w:rsid w:val="007D2DE7"/>
    <w:rsid w:val="007D3DC6"/>
    <w:rsid w:val="008056E1"/>
    <w:rsid w:val="00820E83"/>
    <w:rsid w:val="00900B3E"/>
    <w:rsid w:val="0096377A"/>
    <w:rsid w:val="009E62AD"/>
    <w:rsid w:val="00A802BE"/>
    <w:rsid w:val="00AA5791"/>
    <w:rsid w:val="00AA7B9F"/>
    <w:rsid w:val="00B55E1F"/>
    <w:rsid w:val="00BA3CEE"/>
    <w:rsid w:val="00BD3022"/>
    <w:rsid w:val="00CD5D6F"/>
    <w:rsid w:val="00CE4E5B"/>
    <w:rsid w:val="00CF5D02"/>
    <w:rsid w:val="00DC6864"/>
    <w:rsid w:val="00DF49C9"/>
    <w:rsid w:val="00E118D0"/>
    <w:rsid w:val="00E12B5B"/>
    <w:rsid w:val="00E31829"/>
    <w:rsid w:val="00E46271"/>
    <w:rsid w:val="00E700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DAE373642543F190F5068CB4BC0119">
    <w:name w:val="A8DAE373642543F190F5068CB4BC0119"/>
  </w:style>
  <w:style w:type="paragraph" w:customStyle="1" w:styleId="5F9790FCF78F4468B61936E532D37018">
    <w:name w:val="5F9790FCF78F4468B61936E532D37018"/>
  </w:style>
  <w:style w:type="paragraph" w:customStyle="1" w:styleId="2A8D2D62922E4543A64790019C967620">
    <w:name w:val="2A8D2D62922E4543A64790019C967620"/>
  </w:style>
  <w:style w:type="paragraph" w:customStyle="1" w:styleId="7DC9DFC450B440008A1BACF1C18A59EA">
    <w:name w:val="7DC9DFC450B440008A1BACF1C18A59EA"/>
  </w:style>
  <w:style w:type="character" w:styleId="PlaceholderText">
    <w:name w:val="Placeholder Text"/>
    <w:basedOn w:val="DefaultParagraphFont"/>
    <w:uiPriority w:val="99"/>
    <w:semiHidden/>
    <w:rPr>
      <w:color w:val="808080"/>
    </w:rPr>
  </w:style>
  <w:style w:type="paragraph" w:customStyle="1" w:styleId="A289480C540240B089606D04539D41EA">
    <w:name w:val="A289480C540240B089606D04539D41EA"/>
  </w:style>
  <w:style w:type="paragraph" w:customStyle="1" w:styleId="F37DE9EA47A5440B8083C1A6114971F8">
    <w:name w:val="F37DE9EA47A5440B8083C1A6114971F8"/>
  </w:style>
  <w:style w:type="paragraph" w:customStyle="1" w:styleId="E84B975EBB74423AA83AAE6C233A979E">
    <w:name w:val="E84B975EBB74423AA83AAE6C233A979E"/>
  </w:style>
  <w:style w:type="paragraph" w:customStyle="1" w:styleId="FAC449E5854D4FE29060289DD247B12E">
    <w:name w:val="FAC449E5854D4FE29060289DD247B12E"/>
  </w:style>
  <w:style w:type="paragraph" w:customStyle="1" w:styleId="2092EA29940846FC92EC7C41B1BDDA61">
    <w:name w:val="2092EA29940846FC92EC7C41B1BDDA61"/>
    <w:rsid w:val="002340E9"/>
  </w:style>
  <w:style w:type="paragraph" w:customStyle="1" w:styleId="A14C589AD8744788808A5A26C4E80C75">
    <w:name w:val="A14C589AD8744788808A5A26C4E80C75"/>
    <w:rsid w:val="002340E9"/>
  </w:style>
  <w:style w:type="paragraph" w:customStyle="1" w:styleId="58EC1A04E8724647960325772B3752B5">
    <w:name w:val="58EC1A04E8724647960325772B3752B5"/>
    <w:rsid w:val="002340E9"/>
  </w:style>
  <w:style w:type="paragraph" w:customStyle="1" w:styleId="F1830942A9C14A3E9F47EBBF5700CEB7">
    <w:name w:val="F1830942A9C14A3E9F47EBBF5700CEB7"/>
    <w:rsid w:val="002340E9"/>
  </w:style>
  <w:style w:type="paragraph" w:customStyle="1" w:styleId="CE116D06D1504524A1A16593EB886711">
    <w:name w:val="CE116D06D1504524A1A16593EB886711"/>
    <w:rsid w:val="001B6586"/>
  </w:style>
  <w:style w:type="paragraph" w:customStyle="1" w:styleId="33C2D8CFD4664B998684C56DE6E9B9B1">
    <w:name w:val="33C2D8CFD4664B998684C56DE6E9B9B1"/>
    <w:rsid w:val="00A802BE"/>
  </w:style>
  <w:style w:type="paragraph" w:customStyle="1" w:styleId="496A9A52C1824156B8A71315D31763E3">
    <w:name w:val="496A9A52C1824156B8A71315D31763E3"/>
    <w:rsid w:val="00A802BE"/>
  </w:style>
  <w:style w:type="paragraph" w:customStyle="1" w:styleId="E11DD07D4E3E4EB18CD55D929FB3143E">
    <w:name w:val="E11DD07D4E3E4EB18CD55D929FB3143E"/>
    <w:rsid w:val="00A802BE"/>
  </w:style>
  <w:style w:type="paragraph" w:customStyle="1" w:styleId="C3F663D616944711A2B14C025D5160F5">
    <w:name w:val="C3F663D616944711A2B14C025D5160F5"/>
    <w:rsid w:val="00A802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Elton">
      <a:dk1>
        <a:sysClr val="windowText" lastClr="000000"/>
      </a:dk1>
      <a:lt1>
        <a:sysClr val="window" lastClr="FFFFFF"/>
      </a:lt1>
      <a:dk2>
        <a:srgbClr val="4E4E50"/>
      </a:dk2>
      <a:lt2>
        <a:srgbClr val="F2F2F2"/>
      </a:lt2>
      <a:accent1>
        <a:srgbClr val="41A62A"/>
      </a:accent1>
      <a:accent2>
        <a:srgbClr val="4E4E50"/>
      </a:accent2>
      <a:accent3>
        <a:srgbClr val="B3DBAA"/>
      </a:accent3>
      <a:accent4>
        <a:srgbClr val="D9EDD4"/>
      </a:accent4>
      <a:accent5>
        <a:srgbClr val="F27731"/>
      </a:accent5>
      <a:accent6>
        <a:srgbClr val="FDE6DE"/>
      </a:accent6>
      <a:hlink>
        <a:srgbClr val="41A62A"/>
      </a:hlink>
      <a:folHlink>
        <a:srgbClr val="41A62A"/>
      </a:folHlink>
    </a:clrScheme>
    <a:fontScheme name="Tahoma">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2020-09-01T00:00:00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3A58AD-DB60-498A-8DFD-A30B89C50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A4P.dotm</Template>
  <TotalTime>0</TotalTime>
  <Pages>43</Pages>
  <Words>13492</Words>
  <Characters>76909</Characters>
  <Application>Microsoft Office Word</Application>
  <DocSecurity>4</DocSecurity>
  <Lines>640</Lines>
  <Paragraphs>180</Paragraphs>
  <ScaleCrop>false</ScaleCrop>
  <HeadingPairs>
    <vt:vector size="2" baseType="variant">
      <vt:variant>
        <vt:lpstr>Title</vt:lpstr>
      </vt:variant>
      <vt:variant>
        <vt:i4>1</vt:i4>
      </vt:variant>
    </vt:vector>
  </HeadingPairs>
  <TitlesOfParts>
    <vt:vector size="1" baseType="lpstr">
      <vt:lpstr>Development Assessment Report</vt:lpstr>
    </vt:vector>
  </TitlesOfParts>
  <Manager>Liz Densley</Manager>
  <Company/>
  <LinksUpToDate>false</LinksUpToDate>
  <CharactersWithSpaces>90221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Assessment Report</dc:title>
  <dc:subject>Civic and Cultural Centre</dc:subject>
  <dc:creator>Sophie Butcher</dc:creator>
  <cp:keywords>9387 2600</cp:keywords>
  <dc:description>Liz.densley@elton.com.au</dc:description>
  <cp:lastModifiedBy>Michael Thompson</cp:lastModifiedBy>
  <cp:revision>2</cp:revision>
  <cp:lastPrinted>2016-10-21T02:15:00Z</cp:lastPrinted>
  <dcterms:created xsi:type="dcterms:W3CDTF">2020-09-08T12:42:00Z</dcterms:created>
  <dcterms:modified xsi:type="dcterms:W3CDTF">2020-09-08T12:42:00Z</dcterms:modified>
  <cp:category>Queanbeyan-Palerang Regional Council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Sydney</vt:lpwstr>
  </property>
</Properties>
</file>